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7439" w14:textId="77777777" w:rsidR="00EC4DC7" w:rsidRPr="00A3222A" w:rsidRDefault="00EC4DC7" w:rsidP="00A3222A">
      <w:pPr>
        <w:jc w:val="center"/>
        <w:rPr>
          <w:rFonts w:cstheme="minorHAnsi"/>
          <w:b/>
          <w:bCs/>
          <w:sz w:val="28"/>
          <w:szCs w:val="28"/>
        </w:rPr>
      </w:pPr>
      <w:r w:rsidRPr="00A3222A">
        <w:rPr>
          <w:rFonts w:cstheme="minorHAnsi"/>
          <w:b/>
          <w:bCs/>
          <w:sz w:val="28"/>
          <w:szCs w:val="28"/>
        </w:rPr>
        <w:t>14 OTTOBRE, GIUSTIZIA: INFORMAZIONE A RISCHIO – SCHEDA TEMATICA</w:t>
      </w:r>
    </w:p>
    <w:p w14:paraId="7EF8BF23" w14:textId="507B9FC3" w:rsidR="00EC4DC7" w:rsidRPr="00A3222A" w:rsidRDefault="00EC4DC7" w:rsidP="00A3222A">
      <w:pPr>
        <w:jc w:val="center"/>
        <w:rPr>
          <w:rFonts w:cstheme="minorHAnsi"/>
          <w:i/>
          <w:iCs/>
          <w:sz w:val="28"/>
          <w:szCs w:val="28"/>
        </w:rPr>
      </w:pPr>
      <w:r w:rsidRPr="00A3222A">
        <w:rPr>
          <w:rFonts w:cstheme="minorHAnsi"/>
          <w:i/>
          <w:iCs/>
          <w:sz w:val="28"/>
          <w:szCs w:val="28"/>
        </w:rPr>
        <w:t>Conferenza stampa</w:t>
      </w:r>
      <w:r w:rsidR="00A3222A">
        <w:rPr>
          <w:rFonts w:cstheme="minorHAnsi"/>
          <w:i/>
          <w:iCs/>
          <w:sz w:val="28"/>
          <w:szCs w:val="28"/>
        </w:rPr>
        <w:t xml:space="preserve"> Associazione</w:t>
      </w:r>
      <w:r w:rsidRPr="00A3222A">
        <w:rPr>
          <w:rFonts w:cstheme="minorHAnsi"/>
          <w:i/>
          <w:iCs/>
          <w:sz w:val="28"/>
          <w:szCs w:val="28"/>
        </w:rPr>
        <w:t xml:space="preserve"> Stampa Estera, palazzo Grazioli, Roma</w:t>
      </w:r>
    </w:p>
    <w:p w14:paraId="0E488144" w14:textId="77777777" w:rsidR="00EC4DC7" w:rsidRPr="00A3222A" w:rsidRDefault="00EC4DC7" w:rsidP="00856E27">
      <w:pPr>
        <w:pStyle w:val="Textbody"/>
        <w:spacing w:after="0"/>
        <w:rPr>
          <w:rFonts w:asciiTheme="minorHAnsi" w:hAnsiTheme="minorHAnsi" w:cstheme="minorHAnsi"/>
          <w:b/>
          <w:bCs/>
          <w:u w:val="single"/>
        </w:rPr>
      </w:pPr>
      <w:r w:rsidRPr="00A3222A">
        <w:rPr>
          <w:rFonts w:asciiTheme="minorHAnsi" w:hAnsiTheme="minorHAnsi" w:cstheme="minorHAnsi"/>
          <w:b/>
          <w:bCs/>
          <w:u w:val="single"/>
        </w:rPr>
        <w:t>Presunzione innocenza</w:t>
      </w:r>
    </w:p>
    <w:p w14:paraId="0E93C082" w14:textId="77777777" w:rsidR="00EC4DC7" w:rsidRPr="00A3222A" w:rsidRDefault="00EC4DC7" w:rsidP="00856E27">
      <w:pPr>
        <w:pStyle w:val="Textbody"/>
        <w:spacing w:after="0"/>
        <w:rPr>
          <w:rFonts w:asciiTheme="minorHAnsi" w:hAnsiTheme="minorHAnsi" w:cstheme="minorHAnsi"/>
          <w:b/>
          <w:bCs/>
          <w:u w:val="single"/>
        </w:rPr>
      </w:pPr>
    </w:p>
    <w:p w14:paraId="554CF48C" w14:textId="659FAA59" w:rsidR="00EC4DC7" w:rsidRPr="00A3222A" w:rsidRDefault="00EC4DC7" w:rsidP="00C51016">
      <w:pPr>
        <w:spacing w:after="0"/>
        <w:jc w:val="both"/>
        <w:rPr>
          <w:rFonts w:eastAsia="Arial" w:cstheme="minorHAnsi"/>
          <w:color w:val="222222"/>
          <w:sz w:val="24"/>
          <w:szCs w:val="24"/>
        </w:rPr>
      </w:pPr>
      <w:r w:rsidRPr="00A3222A">
        <w:rPr>
          <w:rFonts w:eastAsia="Arial" w:cstheme="minorHAnsi"/>
          <w:color w:val="222222"/>
          <w:sz w:val="24"/>
          <w:szCs w:val="24"/>
        </w:rPr>
        <w:t>L'Ordine dei giornalisti ritiene la</w:t>
      </w:r>
      <w:r w:rsidRPr="00A3222A">
        <w:rPr>
          <w:rFonts w:eastAsia="Arial" w:cstheme="minorHAnsi"/>
          <w:b/>
          <w:bCs/>
          <w:color w:val="222222"/>
          <w:sz w:val="24"/>
          <w:szCs w:val="24"/>
        </w:rPr>
        <w:t xml:space="preserve"> presunzione d'innocenza un principio di civiltà, </w:t>
      </w:r>
      <w:r w:rsidRPr="00A3222A">
        <w:rPr>
          <w:rFonts w:eastAsia="Arial" w:cstheme="minorHAnsi"/>
          <w:color w:val="222222"/>
          <w:sz w:val="24"/>
          <w:szCs w:val="24"/>
        </w:rPr>
        <w:t>da attuare – per quanto riguarda i giornalisti - con senso di responsabilità e rispetto dell</w:t>
      </w:r>
      <w:r w:rsidR="00A3222A">
        <w:rPr>
          <w:rFonts w:eastAsia="Arial" w:cstheme="minorHAnsi"/>
          <w:color w:val="222222"/>
          <w:sz w:val="24"/>
          <w:szCs w:val="24"/>
        </w:rPr>
        <w:t>e persone</w:t>
      </w:r>
      <w:r w:rsidRPr="00A3222A">
        <w:rPr>
          <w:rFonts w:eastAsia="Arial" w:cstheme="minorHAnsi"/>
          <w:color w:val="222222"/>
          <w:sz w:val="24"/>
          <w:szCs w:val="24"/>
        </w:rPr>
        <w:t>.</w:t>
      </w:r>
    </w:p>
    <w:p w14:paraId="044E76FB" w14:textId="77777777" w:rsidR="00EC4DC7" w:rsidRPr="00A3222A" w:rsidRDefault="00EC4DC7" w:rsidP="00C51016">
      <w:pPr>
        <w:spacing w:after="0"/>
        <w:jc w:val="both"/>
        <w:rPr>
          <w:rFonts w:eastAsia="Arial" w:cstheme="minorHAnsi"/>
          <w:b/>
          <w:bCs/>
          <w:color w:val="222222"/>
          <w:sz w:val="24"/>
          <w:szCs w:val="24"/>
        </w:rPr>
      </w:pPr>
    </w:p>
    <w:p w14:paraId="51371FAC" w14:textId="215E808B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</w:rPr>
        <w:t xml:space="preserve">L'entrata in vigore del cosiddetto Decreto Cartabia, il Decreto legislativo n. 188/2021, ha comportato </w:t>
      </w:r>
      <w:r w:rsidR="00856E27" w:rsidRPr="00A3222A">
        <w:rPr>
          <w:rFonts w:asciiTheme="minorHAnsi" w:hAnsiTheme="minorHAnsi" w:cstheme="minorHAnsi"/>
        </w:rPr>
        <w:t>enorm</w:t>
      </w:r>
      <w:r w:rsidRPr="00A3222A">
        <w:rPr>
          <w:rFonts w:asciiTheme="minorHAnsi" w:hAnsiTheme="minorHAnsi" w:cstheme="minorHAnsi"/>
        </w:rPr>
        <w:t xml:space="preserve">i problemi, anche a seguito di una </w:t>
      </w:r>
      <w:r w:rsidRPr="00A3222A">
        <w:rPr>
          <w:rFonts w:asciiTheme="minorHAnsi" w:hAnsiTheme="minorHAnsi" w:cstheme="minorHAnsi"/>
          <w:b/>
          <w:bCs/>
        </w:rPr>
        <w:t>interpretazione restrittiva</w:t>
      </w:r>
      <w:r w:rsidRPr="00A3222A">
        <w:rPr>
          <w:rFonts w:asciiTheme="minorHAnsi" w:hAnsiTheme="minorHAnsi" w:cstheme="minorHAnsi"/>
        </w:rPr>
        <w:t xml:space="preserve"> della norma da parte delle procure che la applicano limitando al minimo i dettagli (e omettendo sempre i nomi) per evitare il rischio di esporsi a possibili denunce da parte degli indagati.</w:t>
      </w:r>
      <w:r w:rsidR="00856E27" w:rsidRPr="00A3222A">
        <w:rPr>
          <w:rFonts w:asciiTheme="minorHAnsi" w:hAnsiTheme="minorHAnsi" w:cstheme="minorHAnsi"/>
        </w:rPr>
        <w:t xml:space="preserve"> Il </w:t>
      </w:r>
      <w:r w:rsidR="00A3222A" w:rsidRPr="00A3222A">
        <w:rPr>
          <w:rFonts w:asciiTheme="minorHAnsi" w:hAnsiTheme="minorHAnsi" w:cstheme="minorHAnsi"/>
        </w:rPr>
        <w:t>D.Lgs</w:t>
      </w:r>
      <w:r w:rsidR="00856E27" w:rsidRPr="00A3222A">
        <w:rPr>
          <w:rFonts w:asciiTheme="minorHAnsi" w:hAnsiTheme="minorHAnsi" w:cstheme="minorHAnsi"/>
        </w:rPr>
        <w:t xml:space="preserve"> non </w:t>
      </w:r>
      <w:r w:rsidR="00A3222A" w:rsidRPr="00A3222A">
        <w:rPr>
          <w:rFonts w:asciiTheme="minorHAnsi" w:hAnsiTheme="minorHAnsi" w:cstheme="minorHAnsi"/>
        </w:rPr>
        <w:t xml:space="preserve">sembra </w:t>
      </w:r>
      <w:r w:rsidR="00856E27" w:rsidRPr="00A3222A">
        <w:rPr>
          <w:rFonts w:asciiTheme="minorHAnsi" w:hAnsiTheme="minorHAnsi" w:cstheme="minorHAnsi"/>
        </w:rPr>
        <w:t>prendere atto dell’esistenza dei social e dei canali alternativi di diffusione di notizie incomplete, fuorvianti, non verificate.</w:t>
      </w:r>
    </w:p>
    <w:p w14:paraId="4AC6F4EE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4DAF3A6F" w14:textId="04134D75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</w:rPr>
        <w:t xml:space="preserve">Il </w:t>
      </w:r>
      <w:r w:rsidR="0085037E" w:rsidRPr="0085037E">
        <w:rPr>
          <w:rFonts w:asciiTheme="minorHAnsi" w:hAnsiTheme="minorHAnsi" w:cstheme="minorHAnsi"/>
        </w:rPr>
        <w:t xml:space="preserve">D.Lgs </w:t>
      </w:r>
      <w:r w:rsidRPr="00A3222A">
        <w:rPr>
          <w:rFonts w:asciiTheme="minorHAnsi" w:hAnsiTheme="minorHAnsi" w:cstheme="minorHAnsi"/>
        </w:rPr>
        <w:t xml:space="preserve">prevede che soltanto i procuratori possano fornire notizie su procedimenti penali, e che lo possano fare unicamente in caso di interesse pubblico (o necessità in ordine alle indagini). Le forze </w:t>
      </w:r>
      <w:r w:rsidR="0085037E">
        <w:rPr>
          <w:rFonts w:asciiTheme="minorHAnsi" w:hAnsiTheme="minorHAnsi" w:cstheme="minorHAnsi"/>
        </w:rPr>
        <w:t>dell’ordine</w:t>
      </w:r>
      <w:r w:rsidRPr="00A3222A">
        <w:rPr>
          <w:rFonts w:asciiTheme="minorHAnsi" w:hAnsiTheme="minorHAnsi" w:cstheme="minorHAnsi"/>
        </w:rPr>
        <w:t xml:space="preserve"> non </w:t>
      </w:r>
      <w:r w:rsidR="0085037E">
        <w:rPr>
          <w:rFonts w:asciiTheme="minorHAnsi" w:hAnsiTheme="minorHAnsi" w:cstheme="minorHAnsi"/>
        </w:rPr>
        <w:t>pos</w:t>
      </w:r>
      <w:r w:rsidRPr="00A3222A">
        <w:rPr>
          <w:rFonts w:asciiTheme="minorHAnsi" w:hAnsiTheme="minorHAnsi" w:cstheme="minorHAnsi"/>
        </w:rPr>
        <w:t>sono più comunicare alcuna informazione</w:t>
      </w:r>
      <w:r w:rsidR="00856E27" w:rsidRPr="00A3222A">
        <w:rPr>
          <w:rFonts w:asciiTheme="minorHAnsi" w:hAnsiTheme="minorHAnsi" w:cstheme="minorHAnsi"/>
        </w:rPr>
        <w:t xml:space="preserve">. Le </w:t>
      </w:r>
      <w:r w:rsidR="0085037E">
        <w:rPr>
          <w:rFonts w:asciiTheme="minorHAnsi" w:hAnsiTheme="minorHAnsi" w:cstheme="minorHAnsi"/>
        </w:rPr>
        <w:t>notizie</w:t>
      </w:r>
      <w:r w:rsidR="00856E27" w:rsidRPr="00A3222A">
        <w:rPr>
          <w:rFonts w:asciiTheme="minorHAnsi" w:hAnsiTheme="minorHAnsi" w:cstheme="minorHAnsi"/>
        </w:rPr>
        <w:t xml:space="preserve"> possono essere fornite solo attraverso comunicato o conferenza stampa, con gravi problemi di tempestività, soprattutto a fronte di eventi che balzano in maniera prepotente all’attenzione dell’opinione pubblica.</w:t>
      </w:r>
      <w:r w:rsidR="0085037E">
        <w:rPr>
          <w:rFonts w:asciiTheme="minorHAnsi" w:hAnsiTheme="minorHAnsi" w:cstheme="minorHAnsi"/>
        </w:rPr>
        <w:t xml:space="preserve"> </w:t>
      </w:r>
    </w:p>
    <w:p w14:paraId="56618459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2AF52C5A" w14:textId="43718263" w:rsidR="00856E2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  <w:b/>
          <w:bCs/>
        </w:rPr>
        <w:t xml:space="preserve">La Direttiva europea n. 343/2016 </w:t>
      </w:r>
      <w:r w:rsidRPr="00A3222A">
        <w:rPr>
          <w:rFonts w:asciiTheme="minorHAnsi" w:hAnsiTheme="minorHAnsi" w:cstheme="minorHAnsi"/>
        </w:rPr>
        <w:t xml:space="preserve">non si occupa di questioni attinenti all’esercizio dell’attività giornalistica né delle comunicazioni dei media sulle questioni giudiziarie. Al contrario, nella parte introduttiva, il </w:t>
      </w:r>
      <w:r w:rsidR="007C1F52">
        <w:rPr>
          <w:rFonts w:asciiTheme="minorHAnsi" w:hAnsiTheme="minorHAnsi" w:cstheme="minorHAnsi"/>
        </w:rPr>
        <w:t>C</w:t>
      </w:r>
      <w:r w:rsidRPr="00A3222A">
        <w:rPr>
          <w:rFonts w:asciiTheme="minorHAnsi" w:hAnsiTheme="minorHAnsi" w:cstheme="minorHAnsi"/>
        </w:rPr>
        <w:t xml:space="preserve">onsiderando 19, viene precisato che dall'applicazione del principio di presunzione d'innocenza viene </w:t>
      </w:r>
      <w:r w:rsidR="007C1F52">
        <w:rPr>
          <w:rFonts w:asciiTheme="minorHAnsi" w:hAnsiTheme="minorHAnsi" w:cstheme="minorHAnsi"/>
        </w:rPr>
        <w:t>“</w:t>
      </w:r>
      <w:r w:rsidRPr="00A3222A">
        <w:rPr>
          <w:rFonts w:asciiTheme="minorHAnsi" w:hAnsiTheme="minorHAnsi" w:cstheme="minorHAnsi"/>
          <w:i/>
          <w:iCs/>
        </w:rPr>
        <w:t>fatto salvo il diritto nazionale a tutela della libertà di stampa e dei media</w:t>
      </w:r>
      <w:r w:rsidR="007C1F52">
        <w:rPr>
          <w:rFonts w:asciiTheme="minorHAnsi" w:hAnsiTheme="minorHAnsi" w:cstheme="minorHAnsi"/>
          <w:i/>
          <w:iCs/>
        </w:rPr>
        <w:t>”</w:t>
      </w:r>
      <w:r w:rsidR="00856E27" w:rsidRPr="00A3222A">
        <w:rPr>
          <w:rFonts w:asciiTheme="minorHAnsi" w:hAnsiTheme="minorHAnsi" w:cstheme="minorHAnsi"/>
          <w:i/>
          <w:iCs/>
        </w:rPr>
        <w:t>.</w:t>
      </w:r>
    </w:p>
    <w:p w14:paraId="6992448C" w14:textId="77777777" w:rsidR="00856E27" w:rsidRPr="00A3222A" w:rsidRDefault="00856E2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14D800EE" w14:textId="78B56E2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</w:rPr>
        <w:t xml:space="preserve">Occorre una </w:t>
      </w:r>
      <w:r w:rsidRPr="00A3222A">
        <w:rPr>
          <w:rFonts w:asciiTheme="minorHAnsi" w:hAnsiTheme="minorHAnsi" w:cstheme="minorHAnsi"/>
          <w:b/>
          <w:bCs/>
        </w:rPr>
        <w:t>revisione delle norme</w:t>
      </w:r>
      <w:r w:rsidRPr="00A3222A">
        <w:rPr>
          <w:rFonts w:asciiTheme="minorHAnsi" w:hAnsiTheme="minorHAnsi" w:cstheme="minorHAnsi"/>
        </w:rPr>
        <w:t xml:space="preserve"> per eliminare le ingiustificate restrizioni alla conoscibilità delle notizie. I procuratori non possono limitarsi a comunicare quando e ciò che vogliono: devono essere disponibili a rispondere ai quesiti dei giornalisti (fatto salvo l'ovvio segreto d'indagine). A dirlo non sono gli operatori dell'informazione: lo scrive il </w:t>
      </w:r>
      <w:r w:rsidRPr="00A3222A">
        <w:rPr>
          <w:rFonts w:asciiTheme="minorHAnsi" w:hAnsiTheme="minorHAnsi" w:cstheme="minorHAnsi"/>
          <w:b/>
          <w:bCs/>
        </w:rPr>
        <w:t xml:space="preserve">procuratore generale della </w:t>
      </w:r>
      <w:r w:rsidR="00C51016" w:rsidRPr="00A3222A">
        <w:rPr>
          <w:rFonts w:asciiTheme="minorHAnsi" w:hAnsiTheme="minorHAnsi" w:cstheme="minorHAnsi"/>
          <w:b/>
          <w:bCs/>
        </w:rPr>
        <w:t xml:space="preserve">Corte di </w:t>
      </w:r>
      <w:r w:rsidR="00C51016">
        <w:rPr>
          <w:rFonts w:asciiTheme="minorHAnsi" w:hAnsiTheme="minorHAnsi" w:cstheme="minorHAnsi"/>
          <w:b/>
          <w:bCs/>
        </w:rPr>
        <w:t>cassazione</w:t>
      </w:r>
      <w:r w:rsidRPr="00A3222A">
        <w:rPr>
          <w:rFonts w:asciiTheme="minorHAnsi" w:hAnsiTheme="minorHAnsi" w:cstheme="minorHAnsi"/>
          <w:b/>
          <w:bCs/>
        </w:rPr>
        <w:t xml:space="preserve"> </w:t>
      </w:r>
      <w:r w:rsidRPr="00A3222A">
        <w:rPr>
          <w:rFonts w:asciiTheme="minorHAnsi" w:hAnsiTheme="minorHAnsi" w:cstheme="minorHAnsi"/>
        </w:rPr>
        <w:t>negli “</w:t>
      </w:r>
      <w:r w:rsidRPr="00A3222A">
        <w:rPr>
          <w:rFonts w:asciiTheme="minorHAnsi" w:hAnsiTheme="minorHAnsi" w:cstheme="minorHAnsi"/>
          <w:i/>
          <w:iCs/>
        </w:rPr>
        <w:t>Orientamenti in materia di comunicazione dei procedimenti penali</w:t>
      </w:r>
      <w:r w:rsidRPr="00A3222A">
        <w:rPr>
          <w:rFonts w:asciiTheme="minorHAnsi" w:hAnsiTheme="minorHAnsi" w:cstheme="minorHAnsi"/>
        </w:rPr>
        <w:t>” emanati l'8 aprile 2022 per fornire indicazioni pratiche sulle modalità di applicazione del decreto presunzione d'innocenza.</w:t>
      </w:r>
    </w:p>
    <w:p w14:paraId="3DA85685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2D358B23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A3222A">
        <w:rPr>
          <w:rFonts w:asciiTheme="minorHAnsi" w:hAnsiTheme="minorHAnsi" w:cstheme="minorHAnsi"/>
          <w:b/>
          <w:bCs/>
          <w:u w:val="single"/>
        </w:rPr>
        <w:t>Divieto Ordinanze Custodia cautelare</w:t>
      </w:r>
    </w:p>
    <w:p w14:paraId="1E844BC3" w14:textId="77777777" w:rsidR="0085037E" w:rsidRDefault="0085037E" w:rsidP="00C51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AFAFA"/>
        </w:rPr>
      </w:pPr>
    </w:p>
    <w:p w14:paraId="5A6705D8" w14:textId="6537067F" w:rsidR="00EC4DC7" w:rsidRPr="00A3222A" w:rsidRDefault="00EC4DC7" w:rsidP="00C51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3222A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AFAFA"/>
        </w:rPr>
        <w:t xml:space="preserve">Il 2 ottobre in Commissione Giustizia della </w:t>
      </w:r>
      <w:r w:rsidR="00C51016" w:rsidRPr="00A3222A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AFAFA"/>
        </w:rPr>
        <w:t>Camera dei deputati</w:t>
      </w:r>
      <w:r w:rsidRPr="00A3222A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AFAFA"/>
        </w:rPr>
        <w:t xml:space="preserve">, l’Ordine ha ribadito la contrarietà alla modifica dell’art. 114 CPP prevista nel decreto legislativo per l’adeguamento della normativa nazionale alle disposizioni della direttiva (UE) 2016/343. La modifica aggiunge: </w:t>
      </w:r>
      <w:r w:rsidRPr="00A3222A">
        <w:rPr>
          <w:rStyle w:val="normaltextrun"/>
          <w:rFonts w:asciiTheme="minorHAnsi" w:eastAsiaTheme="majorEastAsia" w:hAnsiTheme="minorHAnsi" w:cstheme="minorHAnsi"/>
          <w:i/>
          <w:iCs/>
        </w:rPr>
        <w:t>“è vietata la pubblicazione delle ordinanze di custodia cautelare fino a che non siano concluse le indagini preliminari ovvero fino al termine dell'udienza preliminare</w:t>
      </w:r>
      <w:r w:rsidRPr="00A3222A">
        <w:rPr>
          <w:rStyle w:val="normaltextrun"/>
          <w:rFonts w:asciiTheme="minorHAnsi" w:eastAsiaTheme="majorEastAsia" w:hAnsiTheme="minorHAnsi" w:cstheme="minorHAnsi"/>
          <w:b/>
          <w:bCs/>
          <w:i/>
          <w:iCs/>
        </w:rPr>
        <w:t>”</w:t>
      </w:r>
      <w:r w:rsidR="007C1F52">
        <w:rPr>
          <w:rStyle w:val="normaltextrun"/>
          <w:rFonts w:asciiTheme="minorHAnsi" w:eastAsiaTheme="majorEastAsia" w:hAnsiTheme="minorHAnsi" w:cstheme="minorHAnsi"/>
          <w:b/>
          <w:bCs/>
          <w:i/>
          <w:iCs/>
        </w:rPr>
        <w:t>.</w:t>
      </w:r>
      <w:r w:rsidRPr="00A3222A">
        <w:rPr>
          <w:rStyle w:val="eop"/>
          <w:rFonts w:asciiTheme="minorHAnsi" w:eastAsiaTheme="majorEastAsia" w:hAnsiTheme="minorHAnsi" w:cstheme="minorHAnsi"/>
        </w:rPr>
        <w:t> </w:t>
      </w:r>
    </w:p>
    <w:p w14:paraId="3D582063" w14:textId="77777777" w:rsidR="00EC4DC7" w:rsidRPr="00A3222A" w:rsidRDefault="00EC4DC7" w:rsidP="00C51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3AB38037" w14:textId="4FCFA20B" w:rsidR="00EC4DC7" w:rsidRPr="00A3222A" w:rsidRDefault="00EC4DC7" w:rsidP="00C5101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3222A">
        <w:rPr>
          <w:rStyle w:val="normaltextrun"/>
          <w:rFonts w:asciiTheme="minorHAnsi" w:eastAsiaTheme="majorEastAsia" w:hAnsiTheme="minorHAnsi" w:cstheme="minorHAnsi"/>
          <w:b/>
          <w:bCs/>
        </w:rPr>
        <w:lastRenderedPageBreak/>
        <w:t>Le ordinanze in oggetto sono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3222A">
        <w:rPr>
          <w:rStyle w:val="normaltextrun"/>
          <w:rFonts w:asciiTheme="minorHAnsi" w:eastAsiaTheme="majorEastAsia" w:hAnsiTheme="minorHAnsi" w:cstheme="minorHAnsi"/>
          <w:b/>
          <w:bCs/>
        </w:rPr>
        <w:t>atti pubblici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non coperti dal segreto e trattano del momento in cui un </w:t>
      </w:r>
      <w:r w:rsidRPr="00A3222A">
        <w:rPr>
          <w:rStyle w:val="normaltextrun"/>
          <w:rFonts w:asciiTheme="minorHAnsi" w:eastAsiaTheme="majorEastAsia" w:hAnsiTheme="minorHAnsi" w:cstheme="minorHAnsi"/>
          <w:b/>
          <w:bCs/>
        </w:rPr>
        <w:t>cittadino viene privato della libertà</w:t>
      </w:r>
      <w:r w:rsidRPr="00A3222A">
        <w:rPr>
          <w:rStyle w:val="normaltextrun"/>
          <w:rFonts w:asciiTheme="minorHAnsi" w:eastAsiaTheme="majorEastAsia" w:hAnsiTheme="minorHAnsi" w:cstheme="minorHAnsi"/>
        </w:rPr>
        <w:t>. Riteniamo che decision</w:t>
      </w:r>
      <w:r w:rsidR="0085037E">
        <w:rPr>
          <w:rStyle w:val="normaltextrun"/>
          <w:rFonts w:asciiTheme="minorHAnsi" w:eastAsiaTheme="majorEastAsia" w:hAnsiTheme="minorHAnsi" w:cstheme="minorHAnsi"/>
        </w:rPr>
        <w:t>i di questo genere debbano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="00C51016">
        <w:rPr>
          <w:rStyle w:val="normaltextrun"/>
          <w:rFonts w:asciiTheme="minorHAnsi" w:eastAsiaTheme="majorEastAsia" w:hAnsiTheme="minorHAnsi" w:cstheme="minorHAnsi"/>
        </w:rPr>
        <w:t xml:space="preserve">essere </w:t>
      </w:r>
      <w:r w:rsidR="00C51016" w:rsidRPr="00A3222A">
        <w:rPr>
          <w:rStyle w:val="normaltextrun"/>
          <w:rFonts w:asciiTheme="minorHAnsi" w:eastAsiaTheme="majorEastAsia" w:hAnsiTheme="minorHAnsi" w:cstheme="minorHAnsi"/>
        </w:rPr>
        <w:t>rese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not</w:t>
      </w:r>
      <w:r w:rsidR="0085037E">
        <w:rPr>
          <w:rStyle w:val="normaltextrun"/>
          <w:rFonts w:asciiTheme="minorHAnsi" w:eastAsiaTheme="majorEastAsia" w:hAnsiTheme="minorHAnsi" w:cstheme="minorHAnsi"/>
        </w:rPr>
        <w:t>e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all’opinione pubblica</w:t>
      </w:r>
      <w:r w:rsidR="0085037E">
        <w:rPr>
          <w:rStyle w:val="normaltextrun"/>
          <w:rFonts w:asciiTheme="minorHAnsi" w:eastAsiaTheme="majorEastAsia" w:hAnsiTheme="minorHAnsi" w:cstheme="minorHAnsi"/>
        </w:rPr>
        <w:t xml:space="preserve"> e </w:t>
      </w:r>
      <w:r w:rsidRPr="00A3222A">
        <w:rPr>
          <w:rStyle w:val="normaltextrun"/>
          <w:rFonts w:asciiTheme="minorHAnsi" w:eastAsiaTheme="majorEastAsia" w:hAnsiTheme="minorHAnsi" w:cstheme="minorHAnsi"/>
        </w:rPr>
        <w:t>ben illustrat</w:t>
      </w:r>
      <w:r w:rsidR="0085037E">
        <w:rPr>
          <w:rStyle w:val="normaltextrun"/>
          <w:rFonts w:asciiTheme="minorHAnsi" w:eastAsiaTheme="majorEastAsia" w:hAnsiTheme="minorHAnsi" w:cstheme="minorHAnsi"/>
        </w:rPr>
        <w:t>e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e spiegat</w:t>
      </w:r>
      <w:r w:rsidR="0085037E">
        <w:rPr>
          <w:rStyle w:val="normaltextrun"/>
          <w:rFonts w:asciiTheme="minorHAnsi" w:eastAsiaTheme="majorEastAsia" w:hAnsiTheme="minorHAnsi" w:cstheme="minorHAnsi"/>
        </w:rPr>
        <w:t>e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nelle </w:t>
      </w:r>
      <w:r w:rsidR="0085037E">
        <w:rPr>
          <w:rStyle w:val="normaltextrun"/>
          <w:rFonts w:asciiTheme="minorHAnsi" w:eastAsiaTheme="majorEastAsia" w:hAnsiTheme="minorHAnsi" w:cstheme="minorHAnsi"/>
        </w:rPr>
        <w:t>lo</w:t>
      </w:r>
      <w:r w:rsidR="00C51016">
        <w:rPr>
          <w:rStyle w:val="normaltextrun"/>
          <w:rFonts w:asciiTheme="minorHAnsi" w:eastAsiaTheme="majorEastAsia" w:hAnsiTheme="minorHAnsi" w:cstheme="minorHAnsi"/>
        </w:rPr>
        <w:t>r</w:t>
      </w:r>
      <w:r w:rsidR="0085037E">
        <w:rPr>
          <w:rStyle w:val="normaltextrun"/>
          <w:rFonts w:asciiTheme="minorHAnsi" w:eastAsiaTheme="majorEastAsia" w:hAnsiTheme="minorHAnsi" w:cstheme="minorHAnsi"/>
        </w:rPr>
        <w:t>o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motivazioni. </w:t>
      </w:r>
      <w:r w:rsidR="00856E27" w:rsidRPr="00A3222A">
        <w:rPr>
          <w:rStyle w:val="normaltextrun"/>
          <w:rFonts w:asciiTheme="minorHAnsi" w:eastAsiaTheme="majorEastAsia" w:hAnsiTheme="minorHAnsi" w:cstheme="minorHAnsi"/>
        </w:rPr>
        <w:t xml:space="preserve">A essere in gioco è </w:t>
      </w:r>
      <w:r w:rsidR="00C51016" w:rsidRPr="00A3222A">
        <w:rPr>
          <w:rStyle w:val="normaltextrun"/>
          <w:rFonts w:asciiTheme="minorHAnsi" w:eastAsiaTheme="majorEastAsia" w:hAnsiTheme="minorHAnsi" w:cstheme="minorHAnsi"/>
        </w:rPr>
        <w:t>il diritto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costituzionale dei cittadini ad essere informati correttamente </w:t>
      </w:r>
      <w:r w:rsidR="00A3222A" w:rsidRPr="00A3222A">
        <w:rPr>
          <w:rStyle w:val="normaltextrun"/>
          <w:rFonts w:asciiTheme="minorHAnsi" w:eastAsiaTheme="majorEastAsia" w:hAnsiTheme="minorHAnsi" w:cstheme="minorHAnsi"/>
        </w:rPr>
        <w:t>su fatti di grande rilievo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. Fornire in maniera circostanziata le motivazioni per cui viene disposta la custodia cautelare costituisce una </w:t>
      </w:r>
      <w:r w:rsidRPr="00A3222A">
        <w:rPr>
          <w:rStyle w:val="normaltextrun"/>
          <w:rFonts w:asciiTheme="minorHAnsi" w:eastAsiaTheme="majorEastAsia" w:hAnsiTheme="minorHAnsi" w:cstheme="minorHAnsi"/>
          <w:b/>
          <w:bCs/>
        </w:rPr>
        <w:t>garanzia di trasparenza</w:t>
      </w:r>
      <w:r w:rsidRPr="00A3222A">
        <w:rPr>
          <w:rStyle w:val="normaltextrun"/>
          <w:rFonts w:asciiTheme="minorHAnsi" w:eastAsiaTheme="majorEastAsia" w:hAnsiTheme="minorHAnsi" w:cstheme="minorHAnsi"/>
        </w:rPr>
        <w:t xml:space="preserve"> sull’operato di un corpo dello Stato.</w:t>
      </w:r>
    </w:p>
    <w:p w14:paraId="31053593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2FE503BF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A3222A">
        <w:rPr>
          <w:rFonts w:asciiTheme="minorHAnsi" w:hAnsiTheme="minorHAnsi" w:cstheme="minorHAnsi"/>
          <w:b/>
          <w:bCs/>
          <w:u w:val="single"/>
        </w:rPr>
        <w:t>Diffamazione</w:t>
      </w:r>
    </w:p>
    <w:p w14:paraId="7FCD8AD4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0B53DC0F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</w:rPr>
      </w:pPr>
      <w:r w:rsidRPr="00A3222A">
        <w:rPr>
          <w:rFonts w:asciiTheme="minorHAnsi" w:hAnsiTheme="minorHAnsi" w:cstheme="minorHAnsi"/>
          <w:b/>
          <w:bCs/>
        </w:rPr>
        <w:t>DATI OSSIGENO:</w:t>
      </w:r>
    </w:p>
    <w:p w14:paraId="2B2DD470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</w:rPr>
      </w:pPr>
    </w:p>
    <w:p w14:paraId="0FD6E1D8" w14:textId="0A582849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  <w:b/>
          <w:bCs/>
        </w:rPr>
        <w:t xml:space="preserve">Nel 2022 l’Osservatorio Ossigeno </w:t>
      </w:r>
      <w:r w:rsidRPr="00EA27B9">
        <w:rPr>
          <w:rFonts w:asciiTheme="minorHAnsi" w:hAnsiTheme="minorHAnsi" w:cstheme="minorHAnsi"/>
          <w:b/>
          <w:bCs/>
        </w:rPr>
        <w:t>per l’Informazione</w:t>
      </w:r>
      <w:r w:rsidRPr="00A3222A">
        <w:rPr>
          <w:rFonts w:asciiTheme="minorHAnsi" w:hAnsiTheme="minorHAnsi" w:cstheme="minorHAnsi"/>
        </w:rPr>
        <w:t xml:space="preserve"> ha rilevato in Italia </w:t>
      </w:r>
      <w:r w:rsidRPr="00A3222A">
        <w:rPr>
          <w:rFonts w:asciiTheme="minorHAnsi" w:hAnsiTheme="minorHAnsi" w:cstheme="minorHAnsi"/>
          <w:b/>
          <w:bCs/>
        </w:rPr>
        <w:t>52</w:t>
      </w:r>
      <w:r w:rsidRPr="00A3222A">
        <w:rPr>
          <w:rFonts w:asciiTheme="minorHAnsi" w:hAnsiTheme="minorHAnsi" w:cstheme="minorHAnsi"/>
        </w:rPr>
        <w:t xml:space="preserve"> </w:t>
      </w:r>
      <w:r w:rsidRPr="00A3222A">
        <w:rPr>
          <w:rFonts w:asciiTheme="minorHAnsi" w:hAnsiTheme="minorHAnsi" w:cstheme="minorHAnsi"/>
          <w:b/>
          <w:bCs/>
        </w:rPr>
        <w:t>episodi</w:t>
      </w:r>
      <w:r w:rsidRPr="00A3222A">
        <w:rPr>
          <w:rFonts w:asciiTheme="minorHAnsi" w:hAnsiTheme="minorHAnsi" w:cstheme="minorHAnsi"/>
        </w:rPr>
        <w:t xml:space="preserve"> di intimidazione a danno di 125 giornalisti, blogger, difensori dei diritti umani, opinionisti; episodi considerati SLAPP, ovvero cause legali strumentali per impedire la partecipazione pubblica.</w:t>
      </w:r>
      <w:r w:rsidR="0085037E">
        <w:rPr>
          <w:rFonts w:asciiTheme="minorHAnsi" w:hAnsiTheme="minorHAnsi" w:cstheme="minorHAnsi"/>
        </w:rPr>
        <w:t xml:space="preserve"> </w:t>
      </w:r>
      <w:r w:rsidRPr="00A3222A">
        <w:rPr>
          <w:rFonts w:asciiTheme="minorHAnsi" w:hAnsiTheme="minorHAnsi" w:cstheme="minorHAnsi"/>
        </w:rPr>
        <w:t xml:space="preserve">Le SLAPP più frequenti sono state le </w:t>
      </w:r>
      <w:r w:rsidRPr="00A3222A">
        <w:rPr>
          <w:rFonts w:asciiTheme="minorHAnsi" w:hAnsiTheme="minorHAnsi" w:cstheme="minorHAnsi"/>
          <w:b/>
          <w:bCs/>
        </w:rPr>
        <w:t xml:space="preserve">querele pretestuose </w:t>
      </w:r>
      <w:r w:rsidRPr="00EA27B9">
        <w:rPr>
          <w:rFonts w:asciiTheme="minorHAnsi" w:hAnsiTheme="minorHAnsi" w:cstheme="minorHAnsi"/>
        </w:rPr>
        <w:t>(</w:t>
      </w:r>
      <w:r w:rsidRPr="00A3222A">
        <w:rPr>
          <w:rFonts w:asciiTheme="minorHAnsi" w:hAnsiTheme="minorHAnsi" w:cstheme="minorHAnsi"/>
        </w:rPr>
        <w:t>che hanno colpito</w:t>
      </w:r>
      <w:r w:rsidRPr="00A3222A">
        <w:rPr>
          <w:rFonts w:asciiTheme="minorHAnsi" w:hAnsiTheme="minorHAnsi" w:cstheme="minorHAnsi"/>
          <w:b/>
          <w:bCs/>
        </w:rPr>
        <w:t xml:space="preserve"> 84 delle 125</w:t>
      </w:r>
      <w:r w:rsidRPr="00A3222A">
        <w:rPr>
          <w:rFonts w:asciiTheme="minorHAnsi" w:hAnsiTheme="minorHAnsi" w:cstheme="minorHAnsi"/>
        </w:rPr>
        <w:t xml:space="preserve"> vittime) e le </w:t>
      </w:r>
      <w:r w:rsidRPr="00A3222A">
        <w:rPr>
          <w:rFonts w:asciiTheme="minorHAnsi" w:hAnsiTheme="minorHAnsi" w:cstheme="minorHAnsi"/>
          <w:b/>
          <w:bCs/>
        </w:rPr>
        <w:t>cause civili pretestuose</w:t>
      </w:r>
      <w:r w:rsidRPr="00A3222A">
        <w:rPr>
          <w:rFonts w:asciiTheme="minorHAnsi" w:hAnsiTheme="minorHAnsi" w:cstheme="minorHAnsi"/>
        </w:rPr>
        <w:t xml:space="preserve"> per ottenere un risarcimento di danni (hanno colpito </w:t>
      </w:r>
      <w:r w:rsidRPr="00A3222A">
        <w:rPr>
          <w:rFonts w:asciiTheme="minorHAnsi" w:hAnsiTheme="minorHAnsi" w:cstheme="minorHAnsi"/>
          <w:b/>
          <w:bCs/>
        </w:rPr>
        <w:t xml:space="preserve">34 delle 125 </w:t>
      </w:r>
      <w:r w:rsidRPr="00A3222A">
        <w:rPr>
          <w:rFonts w:asciiTheme="minorHAnsi" w:hAnsiTheme="minorHAnsi" w:cstheme="minorHAnsi"/>
        </w:rPr>
        <w:t xml:space="preserve">vittime) </w:t>
      </w:r>
    </w:p>
    <w:p w14:paraId="41A2E187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6B6C089C" w14:textId="7F7BC12C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  <w:b/>
          <w:bCs/>
        </w:rPr>
        <w:t>Nel 2023 l’Osservatorio</w:t>
      </w:r>
      <w:r w:rsidRPr="00A3222A">
        <w:rPr>
          <w:rFonts w:asciiTheme="minorHAnsi" w:hAnsiTheme="minorHAnsi" w:cstheme="minorHAnsi"/>
        </w:rPr>
        <w:t xml:space="preserve"> ha rilevato un andamento analogo all’anno precedente: </w:t>
      </w:r>
      <w:r w:rsidRPr="00A3222A">
        <w:rPr>
          <w:rFonts w:asciiTheme="minorHAnsi" w:hAnsiTheme="minorHAnsi" w:cstheme="minorHAnsi"/>
          <w:b/>
          <w:bCs/>
        </w:rPr>
        <w:t>46 SLAPP</w:t>
      </w:r>
      <w:r w:rsidRPr="00A3222A">
        <w:rPr>
          <w:rFonts w:asciiTheme="minorHAnsi" w:hAnsiTheme="minorHAnsi" w:cstheme="minorHAnsi"/>
        </w:rPr>
        <w:t xml:space="preserve"> a danno di </w:t>
      </w:r>
      <w:r w:rsidRPr="00A3222A">
        <w:rPr>
          <w:rFonts w:asciiTheme="minorHAnsi" w:hAnsiTheme="minorHAnsi" w:cstheme="minorHAnsi"/>
          <w:b/>
          <w:bCs/>
        </w:rPr>
        <w:t xml:space="preserve">108 </w:t>
      </w:r>
      <w:r w:rsidRPr="00A3222A">
        <w:rPr>
          <w:rFonts w:asciiTheme="minorHAnsi" w:hAnsiTheme="minorHAnsi" w:cstheme="minorHAnsi"/>
        </w:rPr>
        <w:t xml:space="preserve">giornalisti blogger, difensori dei diritti umani, opinionisti. Le SLAPP hanno costituito il 35 per cento di tutti gli episodi rilevati. Le SLAPP più frequenti sono state le </w:t>
      </w:r>
      <w:r w:rsidRPr="00A3222A">
        <w:rPr>
          <w:rFonts w:asciiTheme="minorHAnsi" w:hAnsiTheme="minorHAnsi" w:cstheme="minorHAnsi"/>
          <w:b/>
          <w:bCs/>
        </w:rPr>
        <w:t xml:space="preserve">querele pretestuose </w:t>
      </w:r>
      <w:r w:rsidRPr="00EA27B9">
        <w:rPr>
          <w:rFonts w:asciiTheme="minorHAnsi" w:hAnsiTheme="minorHAnsi" w:cstheme="minorHAnsi"/>
        </w:rPr>
        <w:t>(</w:t>
      </w:r>
      <w:r w:rsidRPr="00A3222A">
        <w:rPr>
          <w:rFonts w:asciiTheme="minorHAnsi" w:hAnsiTheme="minorHAnsi" w:cstheme="minorHAnsi"/>
        </w:rPr>
        <w:t>hanno colpito</w:t>
      </w:r>
      <w:r w:rsidRPr="00A3222A">
        <w:rPr>
          <w:rFonts w:asciiTheme="minorHAnsi" w:hAnsiTheme="minorHAnsi" w:cstheme="minorHAnsi"/>
          <w:b/>
          <w:bCs/>
        </w:rPr>
        <w:t xml:space="preserve"> 59 delle 108 vittime</w:t>
      </w:r>
      <w:r w:rsidRPr="00A3222A">
        <w:rPr>
          <w:rFonts w:asciiTheme="minorHAnsi" w:hAnsiTheme="minorHAnsi" w:cstheme="minorHAnsi"/>
        </w:rPr>
        <w:t xml:space="preserve">) e le </w:t>
      </w:r>
      <w:r w:rsidRPr="00A3222A">
        <w:rPr>
          <w:rFonts w:asciiTheme="minorHAnsi" w:hAnsiTheme="minorHAnsi" w:cstheme="minorHAnsi"/>
          <w:b/>
          <w:bCs/>
        </w:rPr>
        <w:t>cause civili pretestuose</w:t>
      </w:r>
      <w:r w:rsidRPr="00A3222A">
        <w:rPr>
          <w:rFonts w:asciiTheme="minorHAnsi" w:hAnsiTheme="minorHAnsi" w:cstheme="minorHAnsi"/>
        </w:rPr>
        <w:t xml:space="preserve"> per ottenere un risarcimento di danni (hanno colpito </w:t>
      </w:r>
      <w:r w:rsidRPr="00A3222A">
        <w:rPr>
          <w:rFonts w:asciiTheme="minorHAnsi" w:hAnsiTheme="minorHAnsi" w:cstheme="minorHAnsi"/>
          <w:b/>
          <w:bCs/>
        </w:rPr>
        <w:t>30 delle 108 vittime</w:t>
      </w:r>
      <w:r w:rsidRPr="00A3222A">
        <w:rPr>
          <w:rFonts w:asciiTheme="minorHAnsi" w:hAnsiTheme="minorHAnsi" w:cstheme="minorHAnsi"/>
        </w:rPr>
        <w:t>)</w:t>
      </w:r>
    </w:p>
    <w:p w14:paraId="2A9343C8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color w:val="222222"/>
        </w:rPr>
      </w:pPr>
    </w:p>
    <w:p w14:paraId="6E9C13EA" w14:textId="77777777" w:rsidR="00EC4DC7" w:rsidRPr="00A3222A" w:rsidRDefault="00EC4DC7" w:rsidP="00856E27">
      <w:pPr>
        <w:rPr>
          <w:rFonts w:cstheme="minorHAnsi"/>
          <w:sz w:val="24"/>
          <w:szCs w:val="24"/>
        </w:rPr>
      </w:pPr>
      <w:r w:rsidRPr="00A3222A">
        <w:rPr>
          <w:rFonts w:cstheme="minorHAnsi"/>
          <w:noProof/>
          <w:sz w:val="24"/>
          <w:szCs w:val="24"/>
        </w:rPr>
        <w:drawing>
          <wp:inline distT="0" distB="0" distL="0" distR="0" wp14:anchorId="4F247AC9" wp14:editId="45875772">
            <wp:extent cx="6120130" cy="2960370"/>
            <wp:effectExtent l="0" t="0" r="0" b="0"/>
            <wp:docPr id="2090705742" name="Immagine 1" descr="Immagine che contiene testo, numer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05742" name="Immagine 1" descr="Immagine che contiene testo, numero, schermata, Caratter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E40D" w14:textId="77777777" w:rsidR="00EC4DC7" w:rsidRPr="00A3222A" w:rsidRDefault="00EC4DC7" w:rsidP="00C51016">
      <w:pPr>
        <w:jc w:val="both"/>
        <w:rPr>
          <w:rFonts w:cstheme="minorHAnsi"/>
          <w:i/>
          <w:iCs/>
          <w:sz w:val="24"/>
          <w:szCs w:val="24"/>
        </w:rPr>
      </w:pPr>
      <w:r w:rsidRPr="00A3222A">
        <w:rPr>
          <w:rFonts w:cstheme="minorHAnsi"/>
          <w:i/>
          <w:iCs/>
          <w:sz w:val="24"/>
          <w:szCs w:val="24"/>
        </w:rPr>
        <w:t>Ossigeno ha citato soltanto episodi che ha avuto la possibilità di accertare, documentare e classificare con certezza e che rientrano nelle citate tipologie di intimidazione per via legale definite dal Metodo di Monitoraggio di Ossigeno (</w:t>
      </w:r>
      <w:r w:rsidRPr="00A3222A">
        <w:rPr>
          <w:rFonts w:cstheme="minorHAnsi"/>
          <w:sz w:val="24"/>
          <w:szCs w:val="24"/>
        </w:rPr>
        <w:t>nota di Ossigeno Info</w:t>
      </w:r>
      <w:r w:rsidRPr="00A3222A">
        <w:rPr>
          <w:rFonts w:cstheme="minorHAnsi"/>
          <w:i/>
          <w:iCs/>
          <w:sz w:val="24"/>
          <w:szCs w:val="24"/>
        </w:rPr>
        <w:t>).</w:t>
      </w:r>
    </w:p>
    <w:p w14:paraId="678D68F8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  <w:color w:val="1F1F1F"/>
        </w:rPr>
        <w:t>È</w:t>
      </w:r>
      <w:r w:rsidRPr="00A3222A">
        <w:rPr>
          <w:rFonts w:asciiTheme="minorHAnsi" w:hAnsiTheme="minorHAnsi" w:cstheme="minorHAnsi"/>
          <w:color w:val="262626"/>
        </w:rPr>
        <w:t xml:space="preserve"> </w:t>
      </w:r>
      <w:r w:rsidRPr="00A3222A">
        <w:rPr>
          <w:rFonts w:asciiTheme="minorHAnsi" w:hAnsiTheme="minorHAnsi" w:cstheme="minorHAnsi"/>
        </w:rPr>
        <w:t xml:space="preserve">forte la preoccupazione </w:t>
      </w:r>
      <w:r w:rsidRPr="00A3222A">
        <w:rPr>
          <w:rFonts w:asciiTheme="minorHAnsi" w:hAnsiTheme="minorHAnsi" w:cstheme="minorHAnsi"/>
          <w:b/>
          <w:bCs/>
        </w:rPr>
        <w:t>dell’Ordine dei giornalisti</w:t>
      </w:r>
      <w:r w:rsidRPr="00A3222A">
        <w:rPr>
          <w:rFonts w:asciiTheme="minorHAnsi" w:hAnsiTheme="minorHAnsi" w:cstheme="minorHAnsi"/>
        </w:rPr>
        <w:t xml:space="preserve"> di fronte al progetto di riforma in materia di diffamazione al vaglio della Commissione Giustizia del Senato.</w:t>
      </w:r>
    </w:p>
    <w:p w14:paraId="3700D7D9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46FC08C8" w14:textId="1BE58CAF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color w:val="262626"/>
        </w:rPr>
      </w:pPr>
      <w:r w:rsidRPr="00A3222A">
        <w:rPr>
          <w:rFonts w:asciiTheme="minorHAnsi" w:hAnsiTheme="minorHAnsi" w:cstheme="minorHAnsi"/>
        </w:rPr>
        <w:t xml:space="preserve">Viene eliminato il carcere, come sollecitato dalla sentenza della Corte costituzionale 150 del </w:t>
      </w:r>
      <w:r w:rsidRPr="00A3222A">
        <w:rPr>
          <w:rFonts w:asciiTheme="minorHAnsi" w:hAnsiTheme="minorHAnsi" w:cstheme="minorHAnsi"/>
          <w:color w:val="202124"/>
        </w:rPr>
        <w:t xml:space="preserve">12 luglio 2021, ma si introducono </w:t>
      </w:r>
      <w:r w:rsidRPr="00A3222A">
        <w:rPr>
          <w:rFonts w:asciiTheme="minorHAnsi" w:hAnsiTheme="minorHAnsi" w:cstheme="minorHAnsi"/>
          <w:b/>
          <w:bCs/>
          <w:color w:val="262626" w:themeColor="text1" w:themeTint="D9"/>
        </w:rPr>
        <w:t>multe fino a 50mila euro</w:t>
      </w:r>
      <w:r w:rsidRPr="00A3222A">
        <w:rPr>
          <w:rFonts w:asciiTheme="minorHAnsi" w:hAnsiTheme="minorHAnsi" w:cstheme="minorHAnsi"/>
          <w:color w:val="262626" w:themeColor="text1" w:themeTint="D9"/>
        </w:rPr>
        <w:t xml:space="preserve"> (oltre all'eventuale risarcimento del danno in sede civile).</w:t>
      </w:r>
      <w:r w:rsidR="0085037E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Pr="00A3222A">
        <w:rPr>
          <w:rFonts w:asciiTheme="minorHAnsi" w:hAnsiTheme="minorHAnsi" w:cstheme="minorHAnsi"/>
          <w:color w:val="262626"/>
        </w:rPr>
        <w:t xml:space="preserve">La riforma in discussione al Senato prevede inoltre </w:t>
      </w:r>
      <w:r w:rsidR="00EA27B9">
        <w:rPr>
          <w:rFonts w:asciiTheme="minorHAnsi" w:hAnsiTheme="minorHAnsi" w:cstheme="minorHAnsi"/>
          <w:color w:val="262626"/>
        </w:rPr>
        <w:t xml:space="preserve">la </w:t>
      </w:r>
      <w:r w:rsidRPr="00A3222A">
        <w:rPr>
          <w:rFonts w:asciiTheme="minorHAnsi" w:hAnsiTheme="minorHAnsi" w:cstheme="minorHAnsi"/>
          <w:color w:val="262626"/>
        </w:rPr>
        <w:t xml:space="preserve">pubblicazione della </w:t>
      </w:r>
      <w:r w:rsidRPr="00A3222A">
        <w:rPr>
          <w:rFonts w:asciiTheme="minorHAnsi" w:hAnsiTheme="minorHAnsi" w:cstheme="minorHAnsi"/>
          <w:b/>
          <w:bCs/>
          <w:color w:val="262626"/>
        </w:rPr>
        <w:t>rettifica</w:t>
      </w:r>
      <w:r w:rsidRPr="00A3222A">
        <w:rPr>
          <w:rFonts w:asciiTheme="minorHAnsi" w:hAnsiTheme="minorHAnsi" w:cstheme="minorHAnsi"/>
          <w:color w:val="262626"/>
        </w:rPr>
        <w:t xml:space="preserve"> “automatica”, l</w:t>
      </w:r>
      <w:r w:rsidRPr="00A3222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o svolgimento del procedimento </w:t>
      </w:r>
      <w:r w:rsidR="0085037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nel distretto nel quale è </w:t>
      </w:r>
      <w:r w:rsidRPr="00A3222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domicili</w:t>
      </w:r>
      <w:r w:rsidR="0085037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at</w:t>
      </w:r>
      <w:r w:rsidRPr="00A3222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o </w:t>
      </w:r>
      <w:r w:rsidR="0085037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</w:t>
      </w:r>
      <w:r w:rsidRPr="00A3222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l querelante e non, come oggi, </w:t>
      </w:r>
      <w:r w:rsidR="0085037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nel</w:t>
      </w:r>
      <w:r w:rsidRPr="00A3222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luogo di pubblicazione della notizia.</w:t>
      </w:r>
    </w:p>
    <w:p w14:paraId="4DE9A883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color w:val="202124"/>
        </w:rPr>
      </w:pPr>
    </w:p>
    <w:p w14:paraId="0892E76C" w14:textId="21D52CE3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color w:val="262626"/>
        </w:rPr>
      </w:pPr>
      <w:r w:rsidRPr="00A3222A">
        <w:rPr>
          <w:rFonts w:asciiTheme="minorHAnsi" w:hAnsiTheme="minorHAnsi" w:cstheme="minorHAnsi"/>
          <w:color w:val="222222"/>
        </w:rPr>
        <w:t xml:space="preserve">La </w:t>
      </w:r>
      <w:r w:rsidRPr="00A3222A">
        <w:rPr>
          <w:rFonts w:asciiTheme="minorHAnsi" w:hAnsiTheme="minorHAnsi" w:cstheme="minorHAnsi"/>
          <w:b/>
          <w:color w:val="222222"/>
        </w:rPr>
        <w:t xml:space="preserve">Corte europea dei diritti dell'uomo </w:t>
      </w:r>
      <w:r w:rsidRPr="00A3222A">
        <w:rPr>
          <w:rFonts w:asciiTheme="minorHAnsi" w:hAnsiTheme="minorHAnsi" w:cstheme="minorHAnsi"/>
          <w:color w:val="222222"/>
        </w:rPr>
        <w:t>(</w:t>
      </w:r>
      <w:proofErr w:type="spellStart"/>
      <w:r w:rsidRPr="00A3222A">
        <w:rPr>
          <w:rFonts w:asciiTheme="minorHAnsi" w:hAnsiTheme="minorHAnsi" w:cstheme="minorHAnsi"/>
          <w:color w:val="222222"/>
        </w:rPr>
        <w:t>Cedu</w:t>
      </w:r>
      <w:proofErr w:type="spellEnd"/>
      <w:r w:rsidRPr="00A3222A">
        <w:rPr>
          <w:rFonts w:asciiTheme="minorHAnsi" w:hAnsiTheme="minorHAnsi" w:cstheme="minorHAnsi"/>
          <w:color w:val="222222"/>
        </w:rPr>
        <w:t>) si è più volte pronunciata sulla diffamazione, ritenendo non compatibili</w:t>
      </w:r>
      <w:r w:rsidRPr="00A3222A">
        <w:rPr>
          <w:rFonts w:asciiTheme="minorHAnsi" w:hAnsiTheme="minorHAnsi" w:cstheme="minorHAnsi"/>
          <w:b/>
          <w:color w:val="222222"/>
        </w:rPr>
        <w:t xml:space="preserve"> </w:t>
      </w:r>
      <w:r w:rsidRPr="00A3222A">
        <w:rPr>
          <w:rFonts w:asciiTheme="minorHAnsi" w:hAnsiTheme="minorHAnsi" w:cstheme="minorHAnsi"/>
          <w:color w:val="222222"/>
        </w:rPr>
        <w:t xml:space="preserve">con l'art. 10 della Convenzione europea le sanzioni pecuniarie troppo elevate, in quanto costituiscono un rischio per la libertà di stampa. </w:t>
      </w:r>
      <w:r w:rsidRPr="00A3222A">
        <w:rPr>
          <w:rFonts w:asciiTheme="minorHAnsi" w:hAnsiTheme="minorHAnsi" w:cstheme="minorHAnsi"/>
          <w:color w:val="262626" w:themeColor="text1" w:themeTint="D9"/>
        </w:rPr>
        <w:t>Occorre trovare un equilibrio tra la necessità di tutela della dignità e dell'onore delle persone e l</w:t>
      </w:r>
      <w:r w:rsidR="00395364">
        <w:rPr>
          <w:rFonts w:asciiTheme="minorHAnsi" w:hAnsiTheme="minorHAnsi" w:cstheme="minorHAnsi"/>
          <w:color w:val="262626" w:themeColor="text1" w:themeTint="D9"/>
        </w:rPr>
        <w:t xml:space="preserve">a </w:t>
      </w:r>
      <w:r w:rsidRPr="00A3222A">
        <w:rPr>
          <w:rFonts w:asciiTheme="minorHAnsi" w:hAnsiTheme="minorHAnsi" w:cstheme="minorHAnsi"/>
          <w:color w:val="262626" w:themeColor="text1" w:themeTint="D9"/>
        </w:rPr>
        <w:t xml:space="preserve">libertà di stampa. </w:t>
      </w:r>
    </w:p>
    <w:p w14:paraId="06C4C0D4" w14:textId="77777777" w:rsidR="00EC4DC7" w:rsidRPr="00A3222A" w:rsidRDefault="00EC4DC7" w:rsidP="00C51016">
      <w:pPr>
        <w:pStyle w:val="Textbody"/>
        <w:widowControl/>
        <w:spacing w:after="0"/>
        <w:jc w:val="both"/>
        <w:rPr>
          <w:rFonts w:asciiTheme="minorHAnsi" w:hAnsiTheme="minorHAnsi" w:cstheme="minorHAnsi"/>
          <w:b/>
          <w:bCs/>
          <w:color w:val="262626"/>
        </w:rPr>
      </w:pPr>
    </w:p>
    <w:p w14:paraId="45262708" w14:textId="003C5D09" w:rsidR="00EC4DC7" w:rsidRPr="00A3222A" w:rsidRDefault="00EC4DC7" w:rsidP="00C51016">
      <w:pPr>
        <w:pStyle w:val="Standard"/>
        <w:widowControl/>
        <w:jc w:val="both"/>
        <w:rPr>
          <w:rFonts w:asciiTheme="minorHAnsi" w:hAnsiTheme="minorHAnsi" w:cstheme="minorHAnsi"/>
          <w:color w:val="222222"/>
        </w:rPr>
      </w:pPr>
      <w:r w:rsidRPr="00A3222A">
        <w:rPr>
          <w:rFonts w:asciiTheme="minorHAnsi" w:hAnsiTheme="minorHAnsi" w:cstheme="minorHAnsi"/>
          <w:color w:val="222222"/>
        </w:rPr>
        <w:t xml:space="preserve">Da anni aspettiamo invano che si affronti la questione delle </w:t>
      </w:r>
      <w:r w:rsidRPr="00A3222A">
        <w:rPr>
          <w:rFonts w:asciiTheme="minorHAnsi" w:hAnsiTheme="minorHAnsi" w:cstheme="minorHAnsi"/>
          <w:b/>
          <w:bCs/>
          <w:color w:val="222222"/>
        </w:rPr>
        <w:t>cause civili per risarcimento danni relative a servizi giornalistic</w:t>
      </w:r>
      <w:r w:rsidRPr="00EA27B9">
        <w:rPr>
          <w:rFonts w:asciiTheme="minorHAnsi" w:hAnsiTheme="minorHAnsi" w:cstheme="minorHAnsi"/>
          <w:b/>
          <w:bCs/>
          <w:color w:val="222222"/>
        </w:rPr>
        <w:t>i</w:t>
      </w:r>
      <w:r w:rsidRPr="00A3222A">
        <w:rPr>
          <w:rFonts w:asciiTheme="minorHAnsi" w:hAnsiTheme="minorHAnsi" w:cstheme="minorHAnsi"/>
          <w:color w:val="222222"/>
        </w:rPr>
        <w:t>, per avviare le quali le persone che si ritengono danneggiate a seguito di diffamazione o violazione della privacy, hanno a disposizione 5 anni di tempo (in alcuni casi addirittura 10 anni)</w:t>
      </w:r>
      <w:r w:rsidR="00A3222A" w:rsidRPr="00A3222A">
        <w:rPr>
          <w:rFonts w:asciiTheme="minorHAnsi" w:hAnsiTheme="minorHAnsi" w:cstheme="minorHAnsi"/>
          <w:color w:val="222222"/>
        </w:rPr>
        <w:t xml:space="preserve"> per avviare l’azione legale</w:t>
      </w:r>
      <w:r w:rsidRPr="00A3222A">
        <w:rPr>
          <w:rFonts w:asciiTheme="minorHAnsi" w:hAnsiTheme="minorHAnsi" w:cstheme="minorHAnsi"/>
          <w:color w:val="222222"/>
        </w:rPr>
        <w:t>: un periodo lunghissimo, con conseguenti enormi difficoltà (e talvolta impossibilità) per il giornalista di riuscire a recuperare documenti e testimonianze per difendersi e dimostrare la correttezza del proprio lavoro.</w:t>
      </w:r>
    </w:p>
    <w:p w14:paraId="63B44994" w14:textId="77777777" w:rsidR="00EC4DC7" w:rsidRPr="00A3222A" w:rsidRDefault="00EC4DC7" w:rsidP="00C51016">
      <w:pPr>
        <w:pStyle w:val="Standard"/>
        <w:widowControl/>
        <w:jc w:val="both"/>
        <w:rPr>
          <w:rFonts w:asciiTheme="minorHAnsi" w:hAnsiTheme="minorHAnsi" w:cstheme="minorHAnsi"/>
          <w:color w:val="222222"/>
        </w:rPr>
      </w:pPr>
    </w:p>
    <w:p w14:paraId="16778D48" w14:textId="29D6AB6D" w:rsidR="00EC4DC7" w:rsidRPr="00A3222A" w:rsidRDefault="00856E27" w:rsidP="00C51016">
      <w:pPr>
        <w:pStyle w:val="Standard"/>
        <w:widowControl/>
        <w:jc w:val="both"/>
        <w:rPr>
          <w:rFonts w:asciiTheme="minorHAnsi" w:hAnsiTheme="minorHAnsi" w:cstheme="minorHAnsi"/>
          <w:color w:val="222222"/>
        </w:rPr>
      </w:pPr>
      <w:r w:rsidRPr="00A3222A">
        <w:rPr>
          <w:rFonts w:asciiTheme="minorHAnsi" w:hAnsiTheme="minorHAnsi" w:cstheme="minorHAnsi"/>
          <w:b/>
          <w:bCs/>
          <w:color w:val="222222"/>
        </w:rPr>
        <w:t xml:space="preserve">Una norma del tutto inefficace </w:t>
      </w:r>
      <w:r w:rsidRPr="00A3222A">
        <w:rPr>
          <w:rFonts w:asciiTheme="minorHAnsi" w:hAnsiTheme="minorHAnsi" w:cstheme="minorHAnsi"/>
          <w:color w:val="222222"/>
        </w:rPr>
        <w:t>è prevista</w:t>
      </w:r>
      <w:r w:rsidR="00EC4DC7" w:rsidRPr="00A3222A">
        <w:rPr>
          <w:rFonts w:asciiTheme="minorHAnsi" w:hAnsiTheme="minorHAnsi" w:cstheme="minorHAnsi"/>
          <w:b/>
          <w:bCs/>
          <w:color w:val="222222"/>
        </w:rPr>
        <w:t xml:space="preserve"> per limitare l’abuso di azioni giudiziarie di stamp</w:t>
      </w:r>
      <w:r w:rsidRPr="00A3222A">
        <w:rPr>
          <w:rFonts w:asciiTheme="minorHAnsi" w:hAnsiTheme="minorHAnsi" w:cstheme="minorHAnsi"/>
          <w:b/>
          <w:bCs/>
          <w:color w:val="222222"/>
        </w:rPr>
        <w:t>o</w:t>
      </w:r>
      <w:r w:rsidR="00EC4DC7" w:rsidRPr="00A3222A">
        <w:rPr>
          <w:rFonts w:asciiTheme="minorHAnsi" w:hAnsiTheme="minorHAnsi" w:cstheme="minorHAnsi"/>
          <w:b/>
          <w:bCs/>
          <w:color w:val="222222"/>
        </w:rPr>
        <w:t xml:space="preserve"> intimidatorio contro i giornalisti,</w:t>
      </w:r>
      <w:r w:rsidR="00EC4DC7" w:rsidRPr="00A3222A">
        <w:rPr>
          <w:rFonts w:asciiTheme="minorHAnsi" w:hAnsiTheme="minorHAnsi" w:cstheme="minorHAnsi"/>
          <w:color w:val="222222"/>
        </w:rPr>
        <w:t xml:space="preserve"> le cosiddette SLAPP oggetto anche di una recente Direttiva europea.</w:t>
      </w:r>
    </w:p>
    <w:p w14:paraId="71CBE473" w14:textId="6CE4FFB5" w:rsidR="00EC4DC7" w:rsidRPr="00A3222A" w:rsidRDefault="00A3222A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A3222A">
        <w:rPr>
          <w:rFonts w:asciiTheme="minorHAnsi" w:hAnsiTheme="minorHAnsi" w:cstheme="minorHAnsi"/>
          <w:b/>
          <w:bCs/>
          <w:u w:val="single"/>
        </w:rPr>
        <w:br/>
      </w:r>
      <w:r w:rsidR="00EC4DC7" w:rsidRPr="00A3222A">
        <w:rPr>
          <w:rFonts w:asciiTheme="minorHAnsi" w:hAnsiTheme="minorHAnsi" w:cstheme="minorHAnsi"/>
          <w:b/>
          <w:bCs/>
          <w:u w:val="single"/>
        </w:rPr>
        <w:t>Diritto all’oblio</w:t>
      </w:r>
    </w:p>
    <w:p w14:paraId="36080890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</w:rPr>
      </w:pPr>
    </w:p>
    <w:p w14:paraId="6D3D4EA8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i/>
          <w:iCs/>
          <w:color w:val="000000"/>
        </w:rPr>
      </w:pPr>
      <w:r w:rsidRPr="00A3222A">
        <w:rPr>
          <w:rFonts w:asciiTheme="minorHAnsi" w:hAnsiTheme="minorHAnsi" w:cstheme="minorHAnsi"/>
          <w:color w:val="262626"/>
        </w:rPr>
        <w:t>I giornalisti non contestano il diritto all'oblio, in base al quale al cittadino viene garantita la possibilità di non risultare esposto per sempre all'attenzione dei media: tale principio è stato recepito da anni nelle norme deontologiche della professione</w:t>
      </w:r>
      <w:r w:rsidRPr="00A3222A">
        <w:rPr>
          <w:rFonts w:asciiTheme="minorHAnsi" w:hAnsiTheme="minorHAnsi" w:cstheme="minorHAnsi"/>
          <w:b/>
          <w:bCs/>
          <w:color w:val="262626"/>
        </w:rPr>
        <w:t xml:space="preserve"> (art. 3 del T</w:t>
      </w:r>
      <w:r w:rsidRPr="00A3222A">
        <w:rPr>
          <w:rFonts w:asciiTheme="minorHAnsi" w:hAnsiTheme="minorHAnsi" w:cstheme="minorHAnsi"/>
          <w:b/>
          <w:bCs/>
          <w:i/>
          <w:iCs/>
          <w:color w:val="000000"/>
        </w:rPr>
        <w:t>esto unico dei doveri del giornalista)</w:t>
      </w:r>
      <w:r w:rsidRPr="00A3222A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A3222A">
        <w:rPr>
          <w:rFonts w:asciiTheme="minorHAnsi" w:hAnsiTheme="minorHAnsi" w:cstheme="minorHAnsi"/>
          <w:color w:val="000000"/>
        </w:rPr>
        <w:t>e viene rispettato</w:t>
      </w:r>
      <w:r w:rsidRPr="00A3222A">
        <w:rPr>
          <w:rFonts w:asciiTheme="minorHAnsi" w:hAnsiTheme="minorHAnsi" w:cstheme="minorHAnsi"/>
          <w:i/>
          <w:iCs/>
          <w:color w:val="000000"/>
        </w:rPr>
        <w:t>.</w:t>
      </w:r>
    </w:p>
    <w:p w14:paraId="63FF74C5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5A2F9F94" w14:textId="5052CCA5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  <w:color w:val="262626"/>
        </w:rPr>
        <w:t>Le preoccupazioni riguardano l'introduzione, con la riforma Cartabia (articolo 1 comma 25 della Legge delega n. 134 del 2021)</w:t>
      </w:r>
      <w:r w:rsidR="00EA27B9">
        <w:rPr>
          <w:rFonts w:asciiTheme="minorHAnsi" w:hAnsiTheme="minorHAnsi" w:cstheme="minorHAnsi"/>
          <w:color w:val="262626"/>
        </w:rPr>
        <w:t>,</w:t>
      </w:r>
      <w:r w:rsidRPr="00A3222A">
        <w:rPr>
          <w:rFonts w:asciiTheme="minorHAnsi" w:hAnsiTheme="minorHAnsi" w:cstheme="minorHAnsi"/>
          <w:color w:val="262626"/>
        </w:rPr>
        <w:t xml:space="preserve"> e con il relativo decreto attuativo (art 64 ter del Decreto legislativo n. 150 del 2022) di un </w:t>
      </w:r>
      <w:r w:rsidRPr="00A3222A">
        <w:rPr>
          <w:rFonts w:asciiTheme="minorHAnsi" w:hAnsiTheme="minorHAnsi" w:cstheme="minorHAnsi"/>
          <w:b/>
          <w:bCs/>
          <w:color w:val="262626"/>
        </w:rPr>
        <w:t xml:space="preserve">inaccettabile automatismo per ottenere la deindicizzazione </w:t>
      </w:r>
      <w:r w:rsidRPr="00A3222A">
        <w:rPr>
          <w:rFonts w:asciiTheme="minorHAnsi" w:hAnsiTheme="minorHAnsi" w:cstheme="minorHAnsi"/>
          <w:color w:val="262626"/>
        </w:rPr>
        <w:t>(e peggio ancora per impedire l'indicizzazione) di notizie riguardanti persone prosciolte o assolte o la cui posizione sia stata archiviata a conclusione di un procedimento giudiziario.</w:t>
      </w:r>
    </w:p>
    <w:p w14:paraId="7009CDD3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3E91D8F2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A3222A">
        <w:rPr>
          <w:rFonts w:asciiTheme="minorHAnsi" w:hAnsiTheme="minorHAnsi" w:cstheme="minorHAnsi"/>
          <w:b/>
          <w:bCs/>
          <w:u w:val="single"/>
        </w:rPr>
        <w:t>Presenza dei giornalisti - Accesso agli atti</w:t>
      </w:r>
    </w:p>
    <w:p w14:paraId="7C3CA137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0409E7C2" w14:textId="4BFB221D" w:rsidR="00EC4DC7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  <w:color w:val="1F1F1F"/>
        </w:rPr>
        <w:t>È</w:t>
      </w:r>
      <w:r w:rsidRPr="00A3222A">
        <w:rPr>
          <w:rFonts w:asciiTheme="minorHAnsi" w:hAnsiTheme="minorHAnsi" w:cstheme="minorHAnsi"/>
          <w:color w:val="262626"/>
        </w:rPr>
        <w:t xml:space="preserve"> </w:t>
      </w:r>
      <w:r w:rsidRPr="00A3222A">
        <w:rPr>
          <w:rFonts w:asciiTheme="minorHAnsi" w:hAnsiTheme="minorHAnsi" w:cstheme="minorHAnsi"/>
        </w:rPr>
        <w:t xml:space="preserve">necessario istituzionalizzare la presenza del giornalista nei </w:t>
      </w:r>
      <w:r w:rsidR="00EA27B9">
        <w:rPr>
          <w:rFonts w:asciiTheme="minorHAnsi" w:hAnsiTheme="minorHAnsi" w:cstheme="minorHAnsi"/>
        </w:rPr>
        <w:t>P</w:t>
      </w:r>
      <w:r w:rsidRPr="00A3222A">
        <w:rPr>
          <w:rFonts w:asciiTheme="minorHAnsi" w:hAnsiTheme="minorHAnsi" w:cstheme="minorHAnsi"/>
        </w:rPr>
        <w:t>alazzi di giustizia e agevolare</w:t>
      </w:r>
      <w:r w:rsidR="00EA27B9">
        <w:rPr>
          <w:rFonts w:asciiTheme="minorHAnsi" w:hAnsiTheme="minorHAnsi" w:cstheme="minorHAnsi"/>
        </w:rPr>
        <w:t xml:space="preserve"> l’</w:t>
      </w:r>
      <w:r w:rsidRPr="00A3222A">
        <w:rPr>
          <w:rFonts w:asciiTheme="minorHAnsi" w:hAnsiTheme="minorHAnsi" w:cstheme="minorHAnsi"/>
        </w:rPr>
        <w:t>accesso ai documenti che possono essere messi a loro disposizione.</w:t>
      </w:r>
    </w:p>
    <w:p w14:paraId="3090B1D4" w14:textId="77777777" w:rsidR="00395364" w:rsidRPr="00A3222A" w:rsidRDefault="00395364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5452C618" w14:textId="77777777" w:rsidR="00856E27" w:rsidRPr="00A3222A" w:rsidRDefault="00856E2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0B0CBF44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A3222A">
        <w:rPr>
          <w:rFonts w:asciiTheme="minorHAnsi" w:hAnsiTheme="minorHAnsi" w:cstheme="minorHAnsi"/>
          <w:b/>
          <w:bCs/>
          <w:u w:val="single"/>
        </w:rPr>
        <w:t>Uffici stampa nei Palazzi di giustizia</w:t>
      </w:r>
    </w:p>
    <w:p w14:paraId="0312599E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36B72719" w14:textId="249FE9BD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</w:rPr>
        <w:t>Sono previsti dall'</w:t>
      </w:r>
      <w:r w:rsidRPr="00A3222A">
        <w:rPr>
          <w:rFonts w:asciiTheme="minorHAnsi" w:hAnsiTheme="minorHAnsi" w:cstheme="minorHAnsi"/>
          <w:b/>
          <w:bCs/>
        </w:rPr>
        <w:t xml:space="preserve">ordinamento giudiziario </w:t>
      </w:r>
      <w:r w:rsidRPr="00A3222A">
        <w:rPr>
          <w:rFonts w:asciiTheme="minorHAnsi" w:hAnsiTheme="minorHAnsi" w:cstheme="minorHAnsi"/>
        </w:rPr>
        <w:t>(</w:t>
      </w:r>
      <w:bookmarkStart w:id="0" w:name="_Hlk179621416"/>
      <w:r w:rsidRPr="00A3222A">
        <w:rPr>
          <w:rFonts w:asciiTheme="minorHAnsi" w:hAnsiTheme="minorHAnsi" w:cstheme="minorHAnsi"/>
        </w:rPr>
        <w:t xml:space="preserve">D.Lgs </w:t>
      </w:r>
      <w:bookmarkEnd w:id="0"/>
      <w:r w:rsidRPr="00A3222A">
        <w:rPr>
          <w:rFonts w:asciiTheme="minorHAnsi" w:hAnsiTheme="minorHAnsi" w:cstheme="minorHAnsi"/>
        </w:rPr>
        <w:t xml:space="preserve">n.106/2006), ma non sono stati attivati in gran parte degli </w:t>
      </w:r>
      <w:r w:rsidR="00EA27B9">
        <w:rPr>
          <w:rFonts w:asciiTheme="minorHAnsi" w:hAnsiTheme="minorHAnsi" w:cstheme="minorHAnsi"/>
        </w:rPr>
        <w:t>U</w:t>
      </w:r>
      <w:r w:rsidRPr="00A3222A">
        <w:rPr>
          <w:rFonts w:asciiTheme="minorHAnsi" w:hAnsiTheme="minorHAnsi" w:cstheme="minorHAnsi"/>
        </w:rPr>
        <w:t xml:space="preserve">ffici giudiziari. L'attivazione degli </w:t>
      </w:r>
      <w:r w:rsidR="00EA27B9">
        <w:rPr>
          <w:rFonts w:asciiTheme="minorHAnsi" w:hAnsiTheme="minorHAnsi" w:cstheme="minorHAnsi"/>
        </w:rPr>
        <w:t>U</w:t>
      </w:r>
      <w:r w:rsidRPr="00A3222A">
        <w:rPr>
          <w:rFonts w:asciiTheme="minorHAnsi" w:hAnsiTheme="minorHAnsi" w:cstheme="minorHAnsi"/>
        </w:rPr>
        <w:t xml:space="preserve">ffici stampa in tutti gli </w:t>
      </w:r>
      <w:r w:rsidR="00EA27B9">
        <w:rPr>
          <w:rFonts w:asciiTheme="minorHAnsi" w:hAnsiTheme="minorHAnsi" w:cstheme="minorHAnsi"/>
        </w:rPr>
        <w:t>U</w:t>
      </w:r>
      <w:r w:rsidRPr="00A3222A">
        <w:rPr>
          <w:rFonts w:asciiTheme="minorHAnsi" w:hAnsiTheme="minorHAnsi" w:cstheme="minorHAnsi"/>
        </w:rPr>
        <w:t xml:space="preserve">ffici giudiziari </w:t>
      </w:r>
      <w:r w:rsidR="00A3222A" w:rsidRPr="00A3222A">
        <w:rPr>
          <w:rFonts w:asciiTheme="minorHAnsi" w:hAnsiTheme="minorHAnsi" w:cstheme="minorHAnsi"/>
        </w:rPr>
        <w:t>è</w:t>
      </w:r>
      <w:r w:rsidRPr="00A3222A">
        <w:rPr>
          <w:rFonts w:asciiTheme="minorHAnsi" w:hAnsiTheme="minorHAnsi" w:cstheme="minorHAnsi"/>
        </w:rPr>
        <w:t xml:space="preserve"> opportuna, in modo che possano forn</w:t>
      </w:r>
      <w:r w:rsidR="00A3222A" w:rsidRPr="00A3222A">
        <w:rPr>
          <w:rFonts w:asciiTheme="minorHAnsi" w:hAnsiTheme="minorHAnsi" w:cstheme="minorHAnsi"/>
        </w:rPr>
        <w:t>ire</w:t>
      </w:r>
      <w:r w:rsidRPr="00A3222A">
        <w:rPr>
          <w:rFonts w:asciiTheme="minorHAnsi" w:hAnsiTheme="minorHAnsi" w:cstheme="minorHAnsi"/>
        </w:rPr>
        <w:t xml:space="preserve"> informazioni complet</w:t>
      </w:r>
      <w:r w:rsidR="00A3222A" w:rsidRPr="00A3222A">
        <w:rPr>
          <w:rFonts w:asciiTheme="minorHAnsi" w:hAnsiTheme="minorHAnsi" w:cstheme="minorHAnsi"/>
        </w:rPr>
        <w:t>e</w:t>
      </w:r>
      <w:r w:rsidRPr="00A3222A">
        <w:rPr>
          <w:rFonts w:asciiTheme="minorHAnsi" w:hAnsiTheme="minorHAnsi" w:cstheme="minorHAnsi"/>
        </w:rPr>
        <w:t xml:space="preserve"> e tempestiv</w:t>
      </w:r>
      <w:r w:rsidR="00A3222A" w:rsidRPr="00A3222A">
        <w:rPr>
          <w:rFonts w:asciiTheme="minorHAnsi" w:hAnsiTheme="minorHAnsi" w:cstheme="minorHAnsi"/>
        </w:rPr>
        <w:t>e</w:t>
      </w:r>
      <w:r w:rsidRPr="00A3222A">
        <w:rPr>
          <w:rFonts w:asciiTheme="minorHAnsi" w:hAnsiTheme="minorHAnsi" w:cstheme="minorHAnsi"/>
        </w:rPr>
        <w:t>.</w:t>
      </w:r>
    </w:p>
    <w:p w14:paraId="2BA55A53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</w:rPr>
      </w:pPr>
    </w:p>
    <w:p w14:paraId="0186EA03" w14:textId="6C57F0F8" w:rsidR="00EC4DC7" w:rsidRPr="00A3222A" w:rsidRDefault="00C51016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A3222A">
        <w:rPr>
          <w:rFonts w:asciiTheme="minorHAnsi" w:hAnsiTheme="minorHAnsi" w:cstheme="minorHAnsi"/>
          <w:b/>
          <w:bCs/>
          <w:u w:val="single"/>
        </w:rPr>
        <w:t>Nomi e</w:t>
      </w:r>
      <w:r w:rsidR="00EC4DC7" w:rsidRPr="00A3222A">
        <w:rPr>
          <w:rFonts w:asciiTheme="minorHAnsi" w:hAnsiTheme="minorHAnsi" w:cstheme="minorHAnsi"/>
          <w:b/>
          <w:bCs/>
          <w:u w:val="single"/>
        </w:rPr>
        <w:t xml:space="preserve"> ruoli di udienza - elemento essenziale dell'informazione</w:t>
      </w:r>
    </w:p>
    <w:p w14:paraId="2FCC2FFC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759A78C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</w:rPr>
      </w:pPr>
      <w:r w:rsidRPr="00A3222A">
        <w:rPr>
          <w:rFonts w:asciiTheme="minorHAnsi" w:hAnsiTheme="minorHAnsi" w:cstheme="minorHAnsi"/>
        </w:rPr>
        <w:t>Il nome dei protagonisti di vicende giudiziarie costituisce un cardine</w:t>
      </w:r>
      <w:r w:rsidRPr="00A3222A">
        <w:rPr>
          <w:rFonts w:asciiTheme="minorHAnsi" w:hAnsiTheme="minorHAnsi" w:cstheme="minorHAnsi"/>
          <w:b/>
          <w:bCs/>
        </w:rPr>
        <w:t xml:space="preserve"> </w:t>
      </w:r>
      <w:r w:rsidRPr="00A3222A">
        <w:rPr>
          <w:rFonts w:asciiTheme="minorHAnsi" w:hAnsiTheme="minorHAnsi" w:cstheme="minorHAnsi"/>
        </w:rPr>
        <w:t xml:space="preserve">dell'informazione e </w:t>
      </w:r>
      <w:r w:rsidRPr="00A3222A">
        <w:rPr>
          <w:rFonts w:asciiTheme="minorHAnsi" w:hAnsiTheme="minorHAnsi" w:cstheme="minorHAnsi"/>
          <w:b/>
          <w:bCs/>
        </w:rPr>
        <w:t>non vi è alcun motivo per ometterli nei casi in cui vi sia un interesse pubblico della notizia.</w:t>
      </w:r>
    </w:p>
    <w:p w14:paraId="557D7266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</w:rPr>
      </w:pPr>
    </w:p>
    <w:p w14:paraId="489A8E9E" w14:textId="7C58A240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</w:rPr>
        <w:t>L'omissione dei nominativi è giustificata, oltre che nei casi previsti dalla legge (per tutelare i minori e le vittime di reati sessuali, ad esempio)</w:t>
      </w:r>
      <w:r w:rsidR="00EA27B9">
        <w:rPr>
          <w:rFonts w:asciiTheme="minorHAnsi" w:hAnsiTheme="minorHAnsi" w:cstheme="minorHAnsi"/>
        </w:rPr>
        <w:t>,</w:t>
      </w:r>
      <w:r w:rsidRPr="00A3222A">
        <w:rPr>
          <w:rFonts w:asciiTheme="minorHAnsi" w:hAnsiTheme="minorHAnsi" w:cstheme="minorHAnsi"/>
        </w:rPr>
        <w:t xml:space="preserve"> nelle vicende di scarso rilievo e nei casi in cui l'oggetto principale della notizia non sia la persona, ma il fatto in sé.</w:t>
      </w:r>
    </w:p>
    <w:p w14:paraId="6C5E1BE3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7160C128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color w:val="222222"/>
        </w:rPr>
      </w:pPr>
      <w:r w:rsidRPr="00A3222A">
        <w:rPr>
          <w:rFonts w:asciiTheme="minorHAnsi" w:hAnsiTheme="minorHAnsi" w:cstheme="minorHAnsi"/>
          <w:b/>
          <w:bCs/>
          <w:color w:val="222222"/>
        </w:rPr>
        <w:t>Ai giornalisti deve essere garantita anche la consultazione dei ruoli di udienza</w:t>
      </w:r>
      <w:r w:rsidRPr="00A3222A">
        <w:rPr>
          <w:rFonts w:asciiTheme="minorHAnsi" w:hAnsiTheme="minorHAnsi" w:cstheme="minorHAnsi"/>
          <w:color w:val="222222"/>
        </w:rPr>
        <w:t>, completi di nomi degli imputati e dei reati per i quali si procede, in modo da poter valutare quali processi siano di interesse pubblico. E ciò anche in relazione ai processi celebrati di fronte al GUP.</w:t>
      </w:r>
    </w:p>
    <w:p w14:paraId="3482DC3C" w14:textId="77777777" w:rsidR="00012964" w:rsidRDefault="00012964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7DC173B9" w14:textId="09C3B852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A3222A">
        <w:rPr>
          <w:rFonts w:asciiTheme="minorHAnsi" w:hAnsiTheme="minorHAnsi" w:cstheme="minorHAnsi"/>
          <w:b/>
          <w:bCs/>
          <w:u w:val="single"/>
        </w:rPr>
        <w:t>Anonimizzazione delle sentenze</w:t>
      </w:r>
    </w:p>
    <w:p w14:paraId="0181880E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0B402FB1" w14:textId="53108423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A3222A">
        <w:rPr>
          <w:rFonts w:asciiTheme="minorHAnsi" w:hAnsiTheme="minorHAnsi" w:cstheme="minorHAnsi"/>
        </w:rPr>
        <w:t xml:space="preserve">Sul sito della </w:t>
      </w:r>
      <w:r w:rsidR="00C51016" w:rsidRPr="00A3222A">
        <w:rPr>
          <w:rFonts w:asciiTheme="minorHAnsi" w:hAnsiTheme="minorHAnsi" w:cstheme="minorHAnsi"/>
        </w:rPr>
        <w:t>Cassazione e</w:t>
      </w:r>
      <w:r w:rsidRPr="00A3222A">
        <w:rPr>
          <w:rFonts w:asciiTheme="minorHAnsi" w:hAnsiTheme="minorHAnsi" w:cstheme="minorHAnsi"/>
        </w:rPr>
        <w:t xml:space="preserve"> sui siti di altri uffici giudiziari sono decine di migliaia le sentenze oscurate in parte o addirittura rimosse in attesa di essere oscurate.</w:t>
      </w:r>
      <w:r w:rsidR="00A3222A" w:rsidRPr="00A3222A">
        <w:rPr>
          <w:rFonts w:asciiTheme="minorHAnsi" w:hAnsiTheme="minorHAnsi" w:cstheme="minorHAnsi"/>
        </w:rPr>
        <w:t xml:space="preserve"> </w:t>
      </w:r>
      <w:r w:rsidRPr="00A3222A">
        <w:rPr>
          <w:rFonts w:asciiTheme="minorHAnsi" w:hAnsiTheme="minorHAnsi" w:cstheme="minorHAnsi"/>
        </w:rPr>
        <w:t xml:space="preserve">L'Ordine dei giornalisti ha già attivato una serie di iniziative per garantire ai giornalisti l'accesso completo al database delle sentenze della </w:t>
      </w:r>
      <w:r w:rsidR="00C51016" w:rsidRPr="00A3222A">
        <w:rPr>
          <w:rFonts w:asciiTheme="minorHAnsi" w:hAnsiTheme="minorHAnsi" w:cstheme="minorHAnsi"/>
        </w:rPr>
        <w:t>Corte di cassazione</w:t>
      </w:r>
      <w:r w:rsidRPr="00A3222A">
        <w:rPr>
          <w:rFonts w:asciiTheme="minorHAnsi" w:hAnsiTheme="minorHAnsi" w:cstheme="minorHAnsi"/>
        </w:rPr>
        <w:t>.</w:t>
      </w:r>
    </w:p>
    <w:p w14:paraId="38972FE3" w14:textId="77777777" w:rsidR="006101F8" w:rsidRPr="00A3222A" w:rsidRDefault="006101F8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09F097C0" w14:textId="12A8341F" w:rsidR="006101F8" w:rsidRPr="00A3222A" w:rsidRDefault="00750078" w:rsidP="00C51016">
      <w:pPr>
        <w:pStyle w:val="Textbody"/>
        <w:spacing w:after="0"/>
        <w:jc w:val="both"/>
        <w:rPr>
          <w:rFonts w:asciiTheme="minorHAnsi" w:hAnsiTheme="minorHAnsi" w:cstheme="minorHAnsi"/>
          <w:i/>
          <w:iCs/>
        </w:rPr>
      </w:pPr>
      <w:r w:rsidRPr="00A3222A">
        <w:rPr>
          <w:rFonts w:asciiTheme="minorHAnsi" w:hAnsiTheme="minorHAnsi" w:cstheme="minorHAnsi"/>
          <w:i/>
          <w:iCs/>
        </w:rPr>
        <w:t>(</w:t>
      </w:r>
      <w:r w:rsidR="00A3222A" w:rsidRPr="00A3222A">
        <w:rPr>
          <w:rFonts w:asciiTheme="minorHAnsi" w:hAnsiTheme="minorHAnsi" w:cstheme="minorHAnsi"/>
          <w:i/>
          <w:iCs/>
        </w:rPr>
        <w:t>testo d</w:t>
      </w:r>
      <w:r w:rsidR="006101F8" w:rsidRPr="00A3222A">
        <w:rPr>
          <w:rFonts w:asciiTheme="minorHAnsi" w:hAnsiTheme="minorHAnsi" w:cstheme="minorHAnsi"/>
          <w:i/>
          <w:iCs/>
        </w:rPr>
        <w:t>isponibile su www.odg.it</w:t>
      </w:r>
      <w:r w:rsidRPr="00A3222A">
        <w:rPr>
          <w:rFonts w:asciiTheme="minorHAnsi" w:hAnsiTheme="minorHAnsi" w:cstheme="minorHAnsi"/>
          <w:i/>
          <w:iCs/>
        </w:rPr>
        <w:t>)</w:t>
      </w:r>
    </w:p>
    <w:p w14:paraId="38724F7A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145FBB50" w14:textId="77777777" w:rsidR="00EC4DC7" w:rsidRPr="00A3222A" w:rsidRDefault="00EC4DC7" w:rsidP="00C51016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0C245008" w14:textId="086D871C" w:rsidR="00450F78" w:rsidRPr="00A3222A" w:rsidRDefault="00EC4DC7" w:rsidP="00C51016">
      <w:pPr>
        <w:jc w:val="right"/>
        <w:rPr>
          <w:rFonts w:cstheme="minorHAnsi"/>
          <w:sz w:val="24"/>
          <w:szCs w:val="24"/>
        </w:rPr>
      </w:pPr>
      <w:r w:rsidRPr="00A3222A">
        <w:rPr>
          <w:rFonts w:cstheme="minorHAnsi"/>
          <w:sz w:val="24"/>
          <w:szCs w:val="24"/>
        </w:rPr>
        <w:t xml:space="preserve">Roma, </w:t>
      </w:r>
      <w:r w:rsidR="00A3222A" w:rsidRPr="00A3222A">
        <w:rPr>
          <w:rFonts w:cstheme="minorHAnsi"/>
          <w:sz w:val="24"/>
          <w:szCs w:val="24"/>
        </w:rPr>
        <w:t xml:space="preserve">14 </w:t>
      </w:r>
      <w:r w:rsidRPr="00A3222A">
        <w:rPr>
          <w:rFonts w:cstheme="minorHAnsi"/>
          <w:sz w:val="24"/>
          <w:szCs w:val="24"/>
        </w:rPr>
        <w:t xml:space="preserve">ottobre 2024 </w:t>
      </w:r>
    </w:p>
    <w:sectPr w:rsidR="00450F78" w:rsidRPr="00A322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EAB9" w14:textId="77777777" w:rsidR="005A5B5E" w:rsidRDefault="005A5B5E" w:rsidP="00064F81">
      <w:pPr>
        <w:spacing w:after="0" w:line="240" w:lineRule="auto"/>
      </w:pPr>
      <w:r>
        <w:separator/>
      </w:r>
    </w:p>
  </w:endnote>
  <w:endnote w:type="continuationSeparator" w:id="0">
    <w:p w14:paraId="0EE540A5" w14:textId="77777777" w:rsidR="005A5B5E" w:rsidRDefault="005A5B5E" w:rsidP="0006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19102"/>
      <w:docPartObj>
        <w:docPartGallery w:val="Page Numbers (Bottom of Page)"/>
        <w:docPartUnique/>
      </w:docPartObj>
    </w:sdtPr>
    <w:sdtContent>
      <w:p w14:paraId="6BEC3644" w14:textId="4CB1BBCE" w:rsidR="00FB6AE3" w:rsidRDefault="00FB6AE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815F4" w14:textId="561B2F23" w:rsidR="00064F81" w:rsidRPr="0097466A" w:rsidRDefault="00064F81" w:rsidP="006207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8AD0" w14:textId="77777777" w:rsidR="005A5B5E" w:rsidRDefault="005A5B5E" w:rsidP="00064F81">
      <w:pPr>
        <w:spacing w:after="0" w:line="240" w:lineRule="auto"/>
      </w:pPr>
      <w:r>
        <w:separator/>
      </w:r>
    </w:p>
  </w:footnote>
  <w:footnote w:type="continuationSeparator" w:id="0">
    <w:p w14:paraId="3039E9B1" w14:textId="77777777" w:rsidR="005A5B5E" w:rsidRDefault="005A5B5E" w:rsidP="0006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183D" w14:textId="0EBE41EF" w:rsidR="00064F81" w:rsidRDefault="00064F81">
    <w:pPr>
      <w:pStyle w:val="Intestazione"/>
    </w:pPr>
    <w:r>
      <w:rPr>
        <w:noProof/>
        <w:lang w:eastAsia="it-IT"/>
      </w:rPr>
      <w:drawing>
        <wp:inline distT="0" distB="0" distL="0" distR="0" wp14:anchorId="47AEB342" wp14:editId="141FB71B">
          <wp:extent cx="1095555" cy="854532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 indiri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123" cy="86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1EBDC" w14:textId="77777777" w:rsidR="00635DFC" w:rsidRDefault="00635DFC">
    <w:pPr>
      <w:pStyle w:val="Intestazione"/>
    </w:pPr>
  </w:p>
  <w:p w14:paraId="548D7E89" w14:textId="77777777" w:rsidR="00635DFC" w:rsidRDefault="00635D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3A"/>
    <w:rsid w:val="00003286"/>
    <w:rsid w:val="00012964"/>
    <w:rsid w:val="00016447"/>
    <w:rsid w:val="00050BB2"/>
    <w:rsid w:val="00064F81"/>
    <w:rsid w:val="000C003E"/>
    <w:rsid w:val="00137D39"/>
    <w:rsid w:val="00186D0F"/>
    <w:rsid w:val="001B40EB"/>
    <w:rsid w:val="001C49CA"/>
    <w:rsid w:val="001E25C4"/>
    <w:rsid w:val="00242063"/>
    <w:rsid w:val="00255D40"/>
    <w:rsid w:val="002845C9"/>
    <w:rsid w:val="00293D99"/>
    <w:rsid w:val="003465D4"/>
    <w:rsid w:val="00370A27"/>
    <w:rsid w:val="00377374"/>
    <w:rsid w:val="00395364"/>
    <w:rsid w:val="003C7024"/>
    <w:rsid w:val="0040307A"/>
    <w:rsid w:val="00425282"/>
    <w:rsid w:val="004275EC"/>
    <w:rsid w:val="0044439C"/>
    <w:rsid w:val="00450F78"/>
    <w:rsid w:val="004533C5"/>
    <w:rsid w:val="00467B28"/>
    <w:rsid w:val="004B79AD"/>
    <w:rsid w:val="004D3F79"/>
    <w:rsid w:val="00522C3A"/>
    <w:rsid w:val="005278F7"/>
    <w:rsid w:val="005A5B5E"/>
    <w:rsid w:val="005B20FC"/>
    <w:rsid w:val="005F3350"/>
    <w:rsid w:val="006101F8"/>
    <w:rsid w:val="006207B0"/>
    <w:rsid w:val="00635DFC"/>
    <w:rsid w:val="00670C65"/>
    <w:rsid w:val="006811BC"/>
    <w:rsid w:val="0068186F"/>
    <w:rsid w:val="00684455"/>
    <w:rsid w:val="006940F2"/>
    <w:rsid w:val="006A47A3"/>
    <w:rsid w:val="006D4A66"/>
    <w:rsid w:val="007001A1"/>
    <w:rsid w:val="00750078"/>
    <w:rsid w:val="00752FE7"/>
    <w:rsid w:val="007B0A84"/>
    <w:rsid w:val="007C1F52"/>
    <w:rsid w:val="007D28E0"/>
    <w:rsid w:val="007D3CF9"/>
    <w:rsid w:val="00816064"/>
    <w:rsid w:val="00826CAA"/>
    <w:rsid w:val="0085037E"/>
    <w:rsid w:val="00856E27"/>
    <w:rsid w:val="008C4706"/>
    <w:rsid w:val="008E5379"/>
    <w:rsid w:val="00926BEC"/>
    <w:rsid w:val="00937B27"/>
    <w:rsid w:val="00951A0E"/>
    <w:rsid w:val="0097466A"/>
    <w:rsid w:val="00A3222A"/>
    <w:rsid w:val="00A52251"/>
    <w:rsid w:val="00A53BA8"/>
    <w:rsid w:val="00A7754B"/>
    <w:rsid w:val="00AA63BD"/>
    <w:rsid w:val="00AF5CA3"/>
    <w:rsid w:val="00B47C74"/>
    <w:rsid w:val="00B63C0D"/>
    <w:rsid w:val="00B86A3D"/>
    <w:rsid w:val="00BB3F15"/>
    <w:rsid w:val="00BF504F"/>
    <w:rsid w:val="00BF798D"/>
    <w:rsid w:val="00C02F2A"/>
    <w:rsid w:val="00C51016"/>
    <w:rsid w:val="00D51D1D"/>
    <w:rsid w:val="00D82CF2"/>
    <w:rsid w:val="00D90003"/>
    <w:rsid w:val="00DA0913"/>
    <w:rsid w:val="00E169E5"/>
    <w:rsid w:val="00E476F3"/>
    <w:rsid w:val="00E52538"/>
    <w:rsid w:val="00E62625"/>
    <w:rsid w:val="00E70912"/>
    <w:rsid w:val="00EA27B9"/>
    <w:rsid w:val="00EC4DC7"/>
    <w:rsid w:val="00F12C4F"/>
    <w:rsid w:val="00F14901"/>
    <w:rsid w:val="00F722CE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AFFB"/>
  <w15:docId w15:val="{8BA0AED4-2DBD-4FEC-983A-554AF8FA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9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F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4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F81"/>
  </w:style>
  <w:style w:type="paragraph" w:styleId="Pidipagina">
    <w:name w:val="footer"/>
    <w:basedOn w:val="Normale"/>
    <w:link w:val="PidipaginaCarattere"/>
    <w:uiPriority w:val="99"/>
    <w:unhideWhenUsed/>
    <w:rsid w:val="00064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F81"/>
  </w:style>
  <w:style w:type="character" w:styleId="Collegamentoipertestuale">
    <w:name w:val="Hyperlink"/>
    <w:basedOn w:val="Carpredefinitoparagrafo"/>
    <w:uiPriority w:val="99"/>
    <w:unhideWhenUsed/>
    <w:rsid w:val="00D51D1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476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76F3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76F3"/>
    <w:rPr>
      <w:sz w:val="20"/>
      <w:szCs w:val="20"/>
    </w:rPr>
  </w:style>
  <w:style w:type="character" w:customStyle="1" w:styleId="cf01">
    <w:name w:val="cf01"/>
    <w:basedOn w:val="Carpredefinitoparagrafo"/>
    <w:rsid w:val="00E476F3"/>
    <w:rPr>
      <w:rFonts w:ascii="Segoe UI" w:hAnsi="Segoe UI" w:cs="Segoe UI" w:hint="default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7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EC4DC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C4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Carpredefinitoparagrafo"/>
    <w:rsid w:val="00EC4DC7"/>
  </w:style>
  <w:style w:type="paragraph" w:customStyle="1" w:styleId="paragraph">
    <w:name w:val="paragraph"/>
    <w:basedOn w:val="Normale"/>
    <w:rsid w:val="00EC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EC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gianni montesano</cp:lastModifiedBy>
  <cp:revision>2</cp:revision>
  <cp:lastPrinted>2024-10-14T06:52:00Z</cp:lastPrinted>
  <dcterms:created xsi:type="dcterms:W3CDTF">2024-10-14T07:42:00Z</dcterms:created>
  <dcterms:modified xsi:type="dcterms:W3CDTF">2024-10-14T07:42:00Z</dcterms:modified>
</cp:coreProperties>
</file>